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3B" w:rsidRPr="00B9023B" w:rsidRDefault="00B9023B" w:rsidP="00B9023B">
      <w:pPr>
        <w:spacing w:after="150" w:line="264" w:lineRule="atLeast"/>
        <w:outlineLvl w:val="1"/>
        <w:rPr>
          <w:rFonts w:ascii="Helvetica" w:eastAsia="Times New Roman" w:hAnsi="Helvetica" w:cs="Helvetica"/>
          <w:color w:val="333333"/>
          <w:sz w:val="46"/>
          <w:szCs w:val="46"/>
        </w:rPr>
      </w:pP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>FY 201</w:t>
      </w:r>
      <w:r w:rsidR="00575995">
        <w:rPr>
          <w:rFonts w:ascii="Helvetica" w:eastAsia="Times New Roman" w:hAnsi="Helvetica" w:cs="Helvetica"/>
          <w:color w:val="333333"/>
          <w:sz w:val="46"/>
          <w:szCs w:val="46"/>
        </w:rPr>
        <w:t>4</w:t>
      </w: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 Highlights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GSA establishes the p</w:t>
      </w:r>
      <w:r w:rsidR="00CA4ABC">
        <w:rPr>
          <w:rFonts w:eastAsia="Times New Roman" w:cs="Arial"/>
          <w:color w:val="333333"/>
          <w:sz w:val="20"/>
          <w:szCs w:val="20"/>
        </w:rPr>
        <w:t>er diem rates for the lower 48 C</w:t>
      </w:r>
      <w:r w:rsidRPr="003F21DB">
        <w:rPr>
          <w:rFonts w:eastAsia="Times New Roman" w:cs="Arial"/>
          <w:color w:val="333333"/>
          <w:sz w:val="20"/>
          <w:szCs w:val="20"/>
        </w:rPr>
        <w:t>ontinental United States (CONUS), which are the maximum allowances that federal employees are reimbursed for expenses incurred while on official travel.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The CONUS per diem rate for an area is actually three allowances: the lodging allowance, the meals allowance and the incidental expense allowance. Most of the CONUS (approximately 2600 counties) are covered by the standard CONUS per diem rate of $12</w:t>
      </w:r>
      <w:r w:rsidR="00575995" w:rsidRPr="003F21DB">
        <w:rPr>
          <w:rFonts w:eastAsia="Times New Roman" w:cs="Arial"/>
          <w:color w:val="333333"/>
          <w:sz w:val="20"/>
          <w:szCs w:val="20"/>
        </w:rPr>
        <w:t>9 ($83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lodging, $46 meals and incidental expenses). In fiscal year (FY) 201</w:t>
      </w:r>
      <w:r w:rsidR="00575995" w:rsidRPr="003F21DB">
        <w:rPr>
          <w:rFonts w:eastAsia="Times New Roman" w:cs="Arial"/>
          <w:color w:val="333333"/>
          <w:sz w:val="20"/>
          <w:szCs w:val="20"/>
        </w:rPr>
        <w:t>4</w:t>
      </w:r>
      <w:r w:rsidRPr="003F21DB">
        <w:rPr>
          <w:rFonts w:eastAsia="Times New Roman" w:cs="Arial"/>
          <w:color w:val="333333"/>
          <w:sz w:val="20"/>
          <w:szCs w:val="20"/>
        </w:rPr>
        <w:t>, there continue to be about 400 Non-Standard Areas (NSAs) that have per diem rates higher than the standard CONUS rate.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Since FY 2005, NSA rates have been based on Average Daily Rate (ADR) data from the lodging industry, which GSA obtains through a contract with a leading provider of lodging industry data. For more about how per diem rates are determined, visit </w:t>
      </w:r>
      <w:hyperlink r:id="rId5" w:tgtFrame="_self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Factors Influencing Lodging Rates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. The ADR is a widely accepted lodging-industry measure based upon a property's room rental revenue divided by the number of rooms rented as reported by the hotel property to the contractor. This calculation provides </w:t>
      </w:r>
      <w:r w:rsidR="00CA4ABC">
        <w:rPr>
          <w:rFonts w:eastAsia="Times New Roman" w:cs="Arial"/>
          <w:color w:val="333333"/>
          <w:sz w:val="20"/>
          <w:szCs w:val="20"/>
        </w:rPr>
        <w:t>GSA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with the average rate in a given area.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As in previous years, GSA still uses: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Only "fire safe" properties; GSA is required by law to use only </w:t>
      </w:r>
      <w:hyperlink r:id="rId6" w:tgtFrame="_self" w:history="1">
        <w:r w:rsidRPr="003F21DB">
          <w:rPr>
            <w:rFonts w:eastAsia="Times New Roman" w:cs="Arial"/>
            <w:color w:val="282E8C"/>
            <w:sz w:val="20"/>
            <w:szCs w:val="20"/>
          </w:rPr>
          <w:t>properties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> that are certified as being in compliance with the Hotel &amp; Motel Fire Safety Act of 1990.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Properties that fall within the mid-price range. 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Data from the prior 12-month period.  For FY 201</w:t>
      </w:r>
      <w:r w:rsidR="00575995" w:rsidRPr="003F21DB">
        <w:rPr>
          <w:rFonts w:eastAsia="Times New Roman" w:cs="Arial"/>
          <w:color w:val="333333"/>
          <w:sz w:val="20"/>
          <w:szCs w:val="20"/>
        </w:rPr>
        <w:t>4</w:t>
      </w:r>
      <w:r w:rsidRPr="003F21DB">
        <w:rPr>
          <w:rFonts w:eastAsia="Times New Roman" w:cs="Arial"/>
          <w:color w:val="333333"/>
          <w:sz w:val="20"/>
          <w:szCs w:val="20"/>
        </w:rPr>
        <w:t>, this is from April 201</w:t>
      </w:r>
      <w:r w:rsidR="00575995" w:rsidRPr="003F21DB">
        <w:rPr>
          <w:rFonts w:eastAsia="Times New Roman" w:cs="Arial"/>
          <w:color w:val="333333"/>
          <w:sz w:val="20"/>
          <w:szCs w:val="20"/>
        </w:rPr>
        <w:t>2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through March 201</w:t>
      </w:r>
      <w:r w:rsidR="00575995" w:rsidRPr="003F21DB">
        <w:rPr>
          <w:rFonts w:eastAsia="Times New Roman" w:cs="Arial"/>
          <w:color w:val="333333"/>
          <w:sz w:val="20"/>
          <w:szCs w:val="20"/>
        </w:rPr>
        <w:t>3</w:t>
      </w:r>
      <w:r w:rsidRPr="003F21DB">
        <w:rPr>
          <w:rFonts w:eastAsia="Times New Roman" w:cs="Arial"/>
          <w:color w:val="333333"/>
          <w:sz w:val="20"/>
          <w:szCs w:val="20"/>
        </w:rPr>
        <w:t>;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Business travel week data (Monday through Thursday)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Agencies are reminded that the Federal Travel Regulation allows for actual expense reimbursement when per diem rates are insufficient to meet necessary expenses. Please see </w:t>
      </w:r>
      <w:hyperlink r:id="rId7" w:anchor="wp1089939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FTR §301-11.300 through 306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 for more information.</w:t>
      </w:r>
    </w:p>
    <w:p w:rsidR="003F21DB" w:rsidRPr="00286D45" w:rsidRDefault="00B9023B" w:rsidP="003F21DB">
      <w:pPr>
        <w:rPr>
          <w:rFonts w:cs="Arial"/>
          <w:sz w:val="20"/>
          <w:szCs w:val="20"/>
        </w:rPr>
      </w:pP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FY 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>1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4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 Results</w:t>
      </w:r>
      <w:proofErr w:type="gramStart"/>
      <w:r w:rsidRPr="003F21DB">
        <w:rPr>
          <w:rFonts w:eastAsia="Times New Roman" w:cs="Arial"/>
          <w:b/>
          <w:bCs/>
          <w:color w:val="333333"/>
          <w:sz w:val="20"/>
          <w:szCs w:val="20"/>
        </w:rPr>
        <w:t>:</w:t>
      </w:r>
      <w:proofErr w:type="gramEnd"/>
      <w:r w:rsidRPr="003F21DB">
        <w:rPr>
          <w:rFonts w:eastAsia="Times New Roman" w:cs="Arial"/>
          <w:color w:val="333333"/>
          <w:sz w:val="20"/>
          <w:szCs w:val="20"/>
        </w:rPr>
        <w:br/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="003F21DB" w:rsidRPr="00286D45">
        <w:rPr>
          <w:rFonts w:eastAsia="Times New Roman" w:cs="Arial"/>
          <w:sz w:val="20"/>
          <w:szCs w:val="20"/>
        </w:rPr>
        <w:t>Two</w:t>
      </w:r>
      <w:r w:rsidRPr="00286D45">
        <w:rPr>
          <w:rFonts w:eastAsia="Times New Roman" w:cs="Arial"/>
          <w:sz w:val="20"/>
          <w:szCs w:val="20"/>
        </w:rPr>
        <w:t xml:space="preserve"> location</w:t>
      </w:r>
      <w:r w:rsidR="003F21DB" w:rsidRPr="00286D45">
        <w:rPr>
          <w:rFonts w:eastAsia="Times New Roman" w:cs="Arial"/>
          <w:sz w:val="20"/>
          <w:szCs w:val="20"/>
        </w:rPr>
        <w:t>s</w:t>
      </w:r>
      <w:r w:rsidRPr="00286D45">
        <w:rPr>
          <w:rFonts w:eastAsia="Times New Roman" w:cs="Arial"/>
          <w:sz w:val="20"/>
          <w:szCs w:val="20"/>
        </w:rPr>
        <w:t xml:space="preserve"> will be</w:t>
      </w:r>
      <w:r w:rsidR="003F21DB" w:rsidRPr="00286D45">
        <w:rPr>
          <w:rFonts w:eastAsia="Times New Roman" w:cs="Arial"/>
          <w:sz w:val="20"/>
          <w:szCs w:val="20"/>
        </w:rPr>
        <w:t xml:space="preserve">come </w:t>
      </w:r>
      <w:r w:rsidRPr="00286D45">
        <w:rPr>
          <w:rFonts w:eastAsia="Times New Roman" w:cs="Arial"/>
          <w:sz w:val="20"/>
          <w:szCs w:val="20"/>
        </w:rPr>
        <w:t>new NSA</w:t>
      </w:r>
      <w:r w:rsidR="003F21DB" w:rsidRPr="00286D45">
        <w:rPr>
          <w:rFonts w:eastAsia="Times New Roman" w:cs="Arial"/>
          <w:sz w:val="20"/>
          <w:szCs w:val="20"/>
        </w:rPr>
        <w:t>s</w:t>
      </w:r>
      <w:r w:rsidRPr="00286D45">
        <w:rPr>
          <w:rFonts w:eastAsia="Times New Roman" w:cs="Arial"/>
          <w:sz w:val="20"/>
          <w:szCs w:val="20"/>
        </w:rPr>
        <w:t xml:space="preserve"> in FY 201</w:t>
      </w:r>
      <w:r w:rsidR="003F21DB" w:rsidRPr="00286D45">
        <w:rPr>
          <w:rFonts w:eastAsia="Times New Roman" w:cs="Arial"/>
          <w:sz w:val="20"/>
          <w:szCs w:val="20"/>
        </w:rPr>
        <w:t>4</w:t>
      </w:r>
      <w:r w:rsidRPr="00286D45">
        <w:rPr>
          <w:rFonts w:eastAsia="Times New Roman" w:cs="Arial"/>
          <w:sz w:val="20"/>
          <w:szCs w:val="20"/>
        </w:rPr>
        <w:t xml:space="preserve">: </w:t>
      </w:r>
      <w:r w:rsidR="003F21DB" w:rsidRPr="00286D45">
        <w:rPr>
          <w:rFonts w:cs="Arial"/>
          <w:sz w:val="20"/>
          <w:szCs w:val="20"/>
        </w:rPr>
        <w:t xml:space="preserve">Big Spring, TX (Howard County); and Pearsall, TX (Frio, La Salle, and Medina Counties).  </w:t>
      </w:r>
    </w:p>
    <w:p w:rsidR="003F21DB" w:rsidRPr="00286D45" w:rsidRDefault="003F21DB" w:rsidP="003F21DB">
      <w:pPr>
        <w:rPr>
          <w:rFonts w:cs="Arial"/>
          <w:sz w:val="20"/>
          <w:szCs w:val="20"/>
        </w:rPr>
      </w:pPr>
      <w:r w:rsidRPr="00286D45">
        <w:rPr>
          <w:rFonts w:cs="Arial"/>
          <w:sz w:val="20"/>
          <w:szCs w:val="20"/>
        </w:rPr>
        <w:t>The City of Hershey, PA, is now a separate NSA from Harrisburg, PA.  In addition, Pasco, WA (Franklin County) and Richland, WA (Benton County) have been merged into a single NSA.  Finally, Hendry County, FL is now included with the Palm Beach County, FL NSA location.</w:t>
      </w:r>
    </w:p>
    <w:p w:rsidR="00B9023B" w:rsidRPr="00286D45" w:rsidRDefault="00B9023B" w:rsidP="00B9023B">
      <w:pPr>
        <w:spacing w:after="0" w:line="240" w:lineRule="atLeast"/>
        <w:rPr>
          <w:rFonts w:eastAsia="Times New Roman" w:cs="Arial"/>
          <w:sz w:val="20"/>
          <w:szCs w:val="20"/>
        </w:rPr>
      </w:pPr>
      <w:r w:rsidRPr="00286D45">
        <w:rPr>
          <w:rFonts w:eastAsia="Times New Roman" w:cs="Arial"/>
          <w:sz w:val="20"/>
          <w:szCs w:val="20"/>
        </w:rPr>
        <w:t>In FY 201</w:t>
      </w:r>
      <w:r w:rsidR="00575995" w:rsidRPr="00286D45">
        <w:rPr>
          <w:rFonts w:eastAsia="Times New Roman" w:cs="Arial"/>
          <w:sz w:val="20"/>
          <w:szCs w:val="20"/>
        </w:rPr>
        <w:t>4</w:t>
      </w:r>
      <w:r w:rsidRPr="00286D45">
        <w:rPr>
          <w:rFonts w:eastAsia="Times New Roman" w:cs="Arial"/>
          <w:sz w:val="20"/>
          <w:szCs w:val="20"/>
        </w:rPr>
        <w:t xml:space="preserve">, 29 locations </w:t>
      </w:r>
      <w:r w:rsidR="00575995" w:rsidRPr="00286D45">
        <w:rPr>
          <w:rFonts w:eastAsia="Times New Roman" w:cs="Arial"/>
          <w:sz w:val="20"/>
          <w:szCs w:val="20"/>
        </w:rPr>
        <w:t xml:space="preserve">that were NSAs in FY 2013 will </w:t>
      </w:r>
      <w:r w:rsidRPr="00286D45">
        <w:rPr>
          <w:rFonts w:eastAsia="Times New Roman" w:cs="Arial"/>
          <w:sz w:val="20"/>
          <w:szCs w:val="20"/>
        </w:rPr>
        <w:t xml:space="preserve">move into the standard CONUS rate category. </w:t>
      </w:r>
      <w:r w:rsidR="00575995" w:rsidRPr="00286D45">
        <w:rPr>
          <w:rFonts w:eastAsia="Times New Roman" w:cs="Arial"/>
          <w:sz w:val="20"/>
          <w:szCs w:val="20"/>
        </w:rPr>
        <w:t>They include:</w:t>
      </w: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75995" w:rsidRPr="00B9023B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4"/>
        <w:gridCol w:w="3756"/>
      </w:tblGrid>
      <w:tr w:rsidR="00B9023B" w:rsidRPr="00B9023B" w:rsidTr="003F21DB">
        <w:trPr>
          <w:trHeight w:val="28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5C69AD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  <w:hideMark/>
          </w:tcPr>
          <w:p w:rsidR="00B9023B" w:rsidRPr="00B9023B" w:rsidRDefault="00B9023B" w:rsidP="00B9023B">
            <w:pPr>
              <w:spacing w:after="75" w:line="240" w:lineRule="atLeast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B9023B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Destination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5C69AD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  <w:hideMark/>
          </w:tcPr>
          <w:p w:rsidR="00B9023B" w:rsidRPr="00B9023B" w:rsidRDefault="00B9023B" w:rsidP="00B9023B">
            <w:pPr>
              <w:spacing w:after="75" w:line="240" w:lineRule="atLeast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B9023B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State</w:t>
            </w:r>
          </w:p>
        </w:tc>
      </w:tr>
      <w:tr w:rsidR="00B9023B" w:rsidRPr="00B9023B" w:rsidTr="003F21DB">
        <w:trPr>
          <w:trHeight w:val="28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9023B" w:rsidRPr="003F21DB" w:rsidRDefault="00B9023B" w:rsidP="00B9023B">
            <w:pPr>
              <w:spacing w:after="75" w:line="240" w:lineRule="atLeast"/>
              <w:rPr>
                <w:rFonts w:eastAsia="Times New Roman" w:cs="Arial"/>
                <w:sz w:val="20"/>
                <w:szCs w:val="20"/>
              </w:rPr>
            </w:pPr>
            <w:r w:rsidRPr="003F21DB">
              <w:rPr>
                <w:rFonts w:eastAsia="Times New Roman" w:cs="Arial"/>
                <w:sz w:val="20"/>
                <w:szCs w:val="20"/>
              </w:rPr>
              <w:t>Montgomery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B9023B" w:rsidRPr="003F21DB" w:rsidRDefault="00B9023B" w:rsidP="00B9023B">
            <w:pPr>
              <w:spacing w:after="75" w:line="240" w:lineRule="atLeast"/>
              <w:rPr>
                <w:rFonts w:eastAsia="Times New Roman" w:cs="Arial"/>
                <w:sz w:val="20"/>
                <w:szCs w:val="20"/>
              </w:rPr>
            </w:pPr>
            <w:r w:rsidRPr="003F21DB">
              <w:rPr>
                <w:rFonts w:eastAsia="Times New Roman" w:cs="Arial"/>
                <w:sz w:val="20"/>
                <w:szCs w:val="20"/>
              </w:rPr>
              <w:t>AL</w:t>
            </w:r>
          </w:p>
        </w:tc>
      </w:tr>
      <w:tr w:rsidR="00575995" w:rsidRPr="00B9023B" w:rsidTr="003F21DB">
        <w:trPr>
          <w:trHeight w:val="345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75995">
              <w:rPr>
                <w:rFonts w:cs="Arial"/>
                <w:color w:val="000000"/>
                <w:sz w:val="20"/>
                <w:szCs w:val="20"/>
              </w:rPr>
              <w:t>Kayenta</w:t>
            </w:r>
            <w:proofErr w:type="spellEnd"/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AZ</w:t>
            </w:r>
          </w:p>
        </w:tc>
      </w:tr>
      <w:tr w:rsidR="00575995" w:rsidRPr="00B9023B" w:rsidTr="003F21DB">
        <w:trPr>
          <w:trHeight w:val="374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Sierra Vista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AZ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Yuma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AZ</w:t>
            </w:r>
          </w:p>
        </w:tc>
      </w:tr>
      <w:tr w:rsidR="00575995" w:rsidRPr="00B9023B" w:rsidTr="003F21DB">
        <w:trPr>
          <w:trHeight w:val="374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Benicia / Dixon / Fairfield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CA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Altamonte Springs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FL</w:t>
            </w:r>
          </w:p>
        </w:tc>
      </w:tr>
      <w:tr w:rsidR="00575995" w:rsidRPr="00B9023B" w:rsidTr="003F21DB">
        <w:trPr>
          <w:trHeight w:val="374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 xml:space="preserve">Jacksonville / Jacksonville Beach / </w:t>
            </w:r>
            <w:proofErr w:type="spellStart"/>
            <w:r w:rsidRPr="00575995">
              <w:rPr>
                <w:rFonts w:cs="Arial"/>
                <w:color w:val="000000"/>
                <w:sz w:val="20"/>
                <w:szCs w:val="20"/>
              </w:rPr>
              <w:t>Mayport</w:t>
            </w:r>
            <w:proofErr w:type="spellEnd"/>
            <w:r w:rsidRPr="00575995">
              <w:rPr>
                <w:rFonts w:cs="Arial"/>
                <w:color w:val="000000"/>
                <w:sz w:val="20"/>
                <w:szCs w:val="20"/>
              </w:rPr>
              <w:t xml:space="preserve"> Naval Station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BF7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FL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Kissimmee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FL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Lakeland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FL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Ocala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FL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Columbus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GA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Michigan City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IN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Valparaiso / Burlington Beach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IN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LA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Hagerstown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MD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 xml:space="preserve">La Plata / Indian Head / Waldorf 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MD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Mount Pleasant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MI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Columbia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MO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lastRenderedPageBreak/>
              <w:t>Jefferson City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MO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St. Robert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MO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Gulfport / Biloxi / Picayune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MS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Greenville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NC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Winston-Salem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NC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NM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Ashland / Crater Lake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OR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Greenville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SC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Beaumont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TX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Chesterfield / Henrico Counties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VA</w:t>
            </w:r>
          </w:p>
        </w:tc>
      </w:tr>
      <w:tr w:rsidR="00575995" w:rsidRPr="00B9023B" w:rsidTr="003F21DB">
        <w:trPr>
          <w:trHeight w:val="360"/>
        </w:trPr>
        <w:tc>
          <w:tcPr>
            <w:tcW w:w="58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Shepherdstown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7FB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575995" w:rsidRPr="00575995" w:rsidRDefault="00575995">
            <w:pPr>
              <w:rPr>
                <w:rFonts w:cs="Arial"/>
                <w:color w:val="000000"/>
                <w:sz w:val="20"/>
                <w:szCs w:val="20"/>
              </w:rPr>
            </w:pPr>
            <w:r w:rsidRPr="00575995">
              <w:rPr>
                <w:rFonts w:cs="Arial"/>
                <w:color w:val="000000"/>
                <w:sz w:val="20"/>
                <w:szCs w:val="20"/>
              </w:rPr>
              <w:t>WV</w:t>
            </w:r>
          </w:p>
        </w:tc>
      </w:tr>
    </w:tbl>
    <w:p w:rsidR="00B71BE2" w:rsidRDefault="00B71BE2"/>
    <w:sectPr w:rsidR="00B71BE2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6C2"/>
    <w:multiLevelType w:val="multilevel"/>
    <w:tmpl w:val="68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23B"/>
    <w:rsid w:val="000538B9"/>
    <w:rsid w:val="000D4299"/>
    <w:rsid w:val="000F0D13"/>
    <w:rsid w:val="001E3150"/>
    <w:rsid w:val="0024640E"/>
    <w:rsid w:val="00286D45"/>
    <w:rsid w:val="003F21DB"/>
    <w:rsid w:val="0051347D"/>
    <w:rsid w:val="00575995"/>
    <w:rsid w:val="008240E0"/>
    <w:rsid w:val="00A60771"/>
    <w:rsid w:val="00B11087"/>
    <w:rsid w:val="00B71BE2"/>
    <w:rsid w:val="00B9023B"/>
    <w:rsid w:val="00CA4ABC"/>
    <w:rsid w:val="00F02B96"/>
    <w:rsid w:val="00FB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a.gov/portal/ext/public/site/FTR/file/Chapter301p011.html/category/218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fa.dhs.gov/applications/hotel/" TargetMode="External"/><Relationship Id="rId5" Type="http://schemas.openxmlformats.org/officeDocument/2006/relationships/hyperlink" Target="http://www.gsa.gov/portal/content/1019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JillDenning</dc:creator>
  <cp:lastModifiedBy>JazmineCVizcarra</cp:lastModifiedBy>
  <cp:revision>2</cp:revision>
  <dcterms:created xsi:type="dcterms:W3CDTF">2013-08-22T16:36:00Z</dcterms:created>
  <dcterms:modified xsi:type="dcterms:W3CDTF">2013-08-22T16:36:00Z</dcterms:modified>
</cp:coreProperties>
</file>