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40A2" w14:textId="5DFD660B" w:rsidR="0074760C" w:rsidRDefault="0045718A">
      <w:pPr>
        <w:jc w:val="center"/>
        <w:rPr>
          <w:b/>
          <w:sz w:val="28"/>
          <w:szCs w:val="28"/>
        </w:rPr>
      </w:pPr>
      <w:bookmarkStart w:id="0" w:name="_gjdgxs" w:colFirst="0" w:colLast="0"/>
      <w:bookmarkEnd w:id="0"/>
      <w:r>
        <w:rPr>
          <w:b/>
          <w:sz w:val="28"/>
          <w:szCs w:val="28"/>
        </w:rPr>
        <w:t xml:space="preserve">FY </w:t>
      </w:r>
      <w:r w:rsidR="002446F3">
        <w:rPr>
          <w:b/>
          <w:sz w:val="28"/>
          <w:szCs w:val="28"/>
        </w:rPr>
        <w:t>2022</w:t>
      </w:r>
      <w:r w:rsidR="007D6B0C">
        <w:rPr>
          <w:b/>
          <w:sz w:val="28"/>
          <w:szCs w:val="28"/>
        </w:rPr>
        <w:t xml:space="preserve"> </w:t>
      </w:r>
      <w:r>
        <w:rPr>
          <w:b/>
          <w:sz w:val="28"/>
          <w:szCs w:val="28"/>
        </w:rPr>
        <w:t xml:space="preserve">Federal Real Property Profile </w:t>
      </w:r>
      <w:r w:rsidR="00D06730">
        <w:rPr>
          <w:b/>
          <w:sz w:val="28"/>
          <w:szCs w:val="28"/>
        </w:rPr>
        <w:t xml:space="preserve">Summary </w:t>
      </w:r>
      <w:r>
        <w:rPr>
          <w:b/>
          <w:sz w:val="28"/>
          <w:szCs w:val="28"/>
        </w:rPr>
        <w:t>Data Set</w:t>
      </w:r>
    </w:p>
    <w:p w14:paraId="517E55AD" w14:textId="77777777" w:rsidR="0074760C" w:rsidRDefault="0045718A">
      <w:pPr>
        <w:jc w:val="center"/>
        <w:rPr>
          <w:b/>
          <w:sz w:val="24"/>
          <w:szCs w:val="24"/>
        </w:rPr>
      </w:pPr>
      <w:r>
        <w:rPr>
          <w:b/>
          <w:sz w:val="28"/>
          <w:szCs w:val="28"/>
        </w:rPr>
        <w:t>Executive Summary</w:t>
      </w:r>
    </w:p>
    <w:p w14:paraId="76A9AAFB" w14:textId="77777777" w:rsidR="0074760C" w:rsidRDefault="0045718A">
      <w:pPr>
        <w:rPr>
          <w:sz w:val="26"/>
          <w:szCs w:val="26"/>
        </w:rPr>
      </w:pPr>
      <w:r>
        <w:rPr>
          <w:sz w:val="26"/>
          <w:szCs w:val="26"/>
        </w:rPr>
        <w:t xml:space="preserve"> </w:t>
      </w:r>
    </w:p>
    <w:p w14:paraId="661156EB" w14:textId="1120B5D2" w:rsidR="0074760C" w:rsidRDefault="0045718A">
      <w:pPr>
        <w:spacing w:line="240" w:lineRule="auto"/>
        <w:rPr>
          <w:b/>
          <w:sz w:val="26"/>
          <w:szCs w:val="26"/>
        </w:rPr>
      </w:pPr>
      <w:r>
        <w:rPr>
          <w:b/>
          <w:sz w:val="26"/>
          <w:szCs w:val="26"/>
        </w:rPr>
        <w:t xml:space="preserve">Overview of the FY </w:t>
      </w:r>
      <w:r w:rsidR="002446F3">
        <w:rPr>
          <w:b/>
          <w:sz w:val="26"/>
          <w:szCs w:val="26"/>
        </w:rPr>
        <w:t>2022</w:t>
      </w:r>
      <w:r w:rsidR="007D6B0C">
        <w:rPr>
          <w:b/>
          <w:sz w:val="26"/>
          <w:szCs w:val="26"/>
        </w:rPr>
        <w:t xml:space="preserve"> </w:t>
      </w:r>
      <w:r>
        <w:rPr>
          <w:b/>
          <w:sz w:val="26"/>
          <w:szCs w:val="26"/>
        </w:rPr>
        <w:t>Results</w:t>
      </w:r>
    </w:p>
    <w:p w14:paraId="42405967" w14:textId="77777777" w:rsidR="0074760C" w:rsidRDefault="0074760C">
      <w:pPr>
        <w:spacing w:line="240" w:lineRule="auto"/>
        <w:rPr>
          <w:b/>
          <w:sz w:val="26"/>
          <w:szCs w:val="26"/>
        </w:rPr>
      </w:pPr>
    </w:p>
    <w:p w14:paraId="39B28AB4" w14:textId="77777777" w:rsidR="0074760C" w:rsidRDefault="0045718A">
      <w:pPr>
        <w:spacing w:line="240" w:lineRule="auto"/>
        <w:rPr>
          <w:sz w:val="24"/>
          <w:szCs w:val="24"/>
        </w:rPr>
      </w:pPr>
      <w:r>
        <w:rPr>
          <w:sz w:val="24"/>
          <w:szCs w:val="24"/>
        </w:rPr>
        <w:t>Executive Order (E.O.) 13327, Federal Real Property Asset Management (February 6, 2004), mandated the creation of a centralized real property database.  The requirement for the database was later enacted into law in the Federal Assets Sale and Transfer Act of 2016 (FASTA) (Pub. L. 114-287).  The General Services Administration (GSA) maintains the Federal Government’s database, known as the Federal Real Property Profile (FRPP) system, of all real property under the custody or control of executive branch agencies, except for property excluded for reasons of national security.</w:t>
      </w:r>
    </w:p>
    <w:p w14:paraId="117FDD68" w14:textId="77777777" w:rsidR="0074760C" w:rsidRDefault="0074760C">
      <w:pPr>
        <w:spacing w:line="240" w:lineRule="auto"/>
        <w:rPr>
          <w:b/>
          <w:sz w:val="24"/>
          <w:szCs w:val="24"/>
        </w:rPr>
      </w:pPr>
    </w:p>
    <w:p w14:paraId="715D933A" w14:textId="2ED52B1F" w:rsidR="0074760C" w:rsidRDefault="0045718A">
      <w:pPr>
        <w:spacing w:line="240" w:lineRule="auto"/>
        <w:rPr>
          <w:sz w:val="24"/>
          <w:szCs w:val="24"/>
        </w:rPr>
      </w:pPr>
      <w:r>
        <w:rPr>
          <w:sz w:val="24"/>
          <w:szCs w:val="24"/>
        </w:rPr>
        <w:t xml:space="preserve">FASTA requires that FRPP asset information, except for that data excluded by agencies for national security reasons or redacted under the Freedom of Information Act, be publicly accessible via the Web, in a </w:t>
      </w:r>
      <w:r>
        <w:rPr>
          <w:color w:val="222222"/>
          <w:sz w:val="24"/>
          <w:szCs w:val="24"/>
          <w:highlight w:val="white"/>
        </w:rPr>
        <w:t>searchable, downloadable, and machine-readable format.  GSA has made FRPP data for fiscal year</w:t>
      </w:r>
      <w:r w:rsidR="005813DE">
        <w:rPr>
          <w:color w:val="222222"/>
          <w:sz w:val="24"/>
          <w:szCs w:val="24"/>
          <w:highlight w:val="white"/>
        </w:rPr>
        <w:t>s</w:t>
      </w:r>
      <w:r>
        <w:rPr>
          <w:color w:val="222222"/>
          <w:sz w:val="24"/>
          <w:szCs w:val="24"/>
          <w:highlight w:val="white"/>
        </w:rPr>
        <w:t xml:space="preserve"> (FY) 2016</w:t>
      </w:r>
      <w:r w:rsidR="005813DE">
        <w:rPr>
          <w:color w:val="222222"/>
          <w:sz w:val="24"/>
          <w:szCs w:val="24"/>
          <w:highlight w:val="white"/>
        </w:rPr>
        <w:t xml:space="preserve"> through </w:t>
      </w:r>
      <w:r w:rsidR="002446F3">
        <w:rPr>
          <w:color w:val="222222"/>
          <w:sz w:val="24"/>
          <w:szCs w:val="24"/>
          <w:highlight w:val="white"/>
        </w:rPr>
        <w:t>2022</w:t>
      </w:r>
      <w:r w:rsidR="007D6B0C">
        <w:rPr>
          <w:color w:val="222222"/>
          <w:sz w:val="24"/>
          <w:szCs w:val="24"/>
          <w:highlight w:val="white"/>
        </w:rPr>
        <w:t xml:space="preserve"> </w:t>
      </w:r>
      <w:r>
        <w:rPr>
          <w:color w:val="222222"/>
          <w:sz w:val="24"/>
          <w:szCs w:val="24"/>
          <w:highlight w:val="white"/>
        </w:rPr>
        <w:t>publicly accessible via GSA’s website.  The public data can be found at</w:t>
      </w:r>
      <w:hyperlink r:id="rId7">
        <w:r>
          <w:rPr>
            <w:sz w:val="24"/>
            <w:szCs w:val="24"/>
          </w:rPr>
          <w:t xml:space="preserve"> </w:t>
        </w:r>
      </w:hyperlink>
      <w:hyperlink r:id="rId8">
        <w:r>
          <w:rPr>
            <w:color w:val="1155CC"/>
            <w:sz w:val="24"/>
            <w:szCs w:val="24"/>
            <w:u w:val="single"/>
          </w:rPr>
          <w:t>publicFRPPdata.realpropertyprofile.gov</w:t>
        </w:r>
      </w:hyperlink>
      <w:r>
        <w:rPr>
          <w:sz w:val="24"/>
          <w:szCs w:val="24"/>
        </w:rPr>
        <w:t>.</w:t>
      </w:r>
    </w:p>
    <w:p w14:paraId="2DE61DF8" w14:textId="77777777" w:rsidR="0074760C" w:rsidRDefault="0074760C">
      <w:pPr>
        <w:spacing w:line="240" w:lineRule="auto"/>
        <w:rPr>
          <w:sz w:val="24"/>
          <w:szCs w:val="24"/>
        </w:rPr>
      </w:pPr>
    </w:p>
    <w:p w14:paraId="70187D58" w14:textId="4E594249" w:rsidR="0074760C" w:rsidRDefault="0045718A">
      <w:pPr>
        <w:spacing w:line="240" w:lineRule="auto"/>
        <w:rPr>
          <w:sz w:val="24"/>
          <w:szCs w:val="24"/>
        </w:rPr>
      </w:pPr>
      <w:r>
        <w:rPr>
          <w:sz w:val="24"/>
          <w:szCs w:val="24"/>
        </w:rPr>
        <w:t xml:space="preserve">GSA is now publishing the FRPP </w:t>
      </w:r>
      <w:r w:rsidR="00D06730">
        <w:rPr>
          <w:sz w:val="24"/>
          <w:szCs w:val="24"/>
        </w:rPr>
        <w:t xml:space="preserve">Summary </w:t>
      </w:r>
      <w:r>
        <w:rPr>
          <w:sz w:val="24"/>
          <w:szCs w:val="24"/>
        </w:rPr>
        <w:t xml:space="preserve">Data Set </w:t>
      </w:r>
      <w:r w:rsidR="00D06730">
        <w:rPr>
          <w:sz w:val="24"/>
          <w:szCs w:val="24"/>
        </w:rPr>
        <w:t xml:space="preserve">(formerly called the Open Data Set) </w:t>
      </w:r>
      <w:r>
        <w:rPr>
          <w:sz w:val="24"/>
          <w:szCs w:val="24"/>
        </w:rPr>
        <w:t xml:space="preserve">for FY </w:t>
      </w:r>
      <w:r w:rsidR="002446F3">
        <w:rPr>
          <w:sz w:val="24"/>
          <w:szCs w:val="24"/>
        </w:rPr>
        <w:t>2022</w:t>
      </w:r>
      <w:r>
        <w:rPr>
          <w:sz w:val="24"/>
          <w:szCs w:val="24"/>
        </w:rPr>
        <w:t xml:space="preserve">. The data set provides a high level summary of the real property inventory of the Federal Government </w:t>
      </w:r>
      <w:r w:rsidR="00250ED7">
        <w:rPr>
          <w:sz w:val="24"/>
          <w:szCs w:val="24"/>
        </w:rPr>
        <w:t xml:space="preserve">in the U.S. and U.S. territories </w:t>
      </w:r>
      <w:r>
        <w:rPr>
          <w:sz w:val="24"/>
          <w:szCs w:val="24"/>
        </w:rPr>
        <w:t xml:space="preserve">at the end of FY </w:t>
      </w:r>
      <w:r w:rsidR="002446F3">
        <w:rPr>
          <w:sz w:val="24"/>
          <w:szCs w:val="24"/>
        </w:rPr>
        <w:t>2022</w:t>
      </w:r>
      <w:r>
        <w:rPr>
          <w:sz w:val="24"/>
          <w:szCs w:val="24"/>
        </w:rPr>
        <w:t xml:space="preserve">.  The FY </w:t>
      </w:r>
      <w:r w:rsidR="002446F3">
        <w:rPr>
          <w:sz w:val="24"/>
          <w:szCs w:val="24"/>
        </w:rPr>
        <w:t>2022</w:t>
      </w:r>
      <w:r w:rsidR="007D6B0C">
        <w:rPr>
          <w:sz w:val="24"/>
          <w:szCs w:val="24"/>
        </w:rPr>
        <w:t xml:space="preserve"> </w:t>
      </w:r>
      <w:r>
        <w:rPr>
          <w:sz w:val="24"/>
          <w:szCs w:val="24"/>
        </w:rPr>
        <w:t xml:space="preserve">FRPP </w:t>
      </w:r>
      <w:r w:rsidR="00D06730">
        <w:rPr>
          <w:sz w:val="24"/>
          <w:szCs w:val="24"/>
        </w:rPr>
        <w:t xml:space="preserve">Summary </w:t>
      </w:r>
      <w:r>
        <w:rPr>
          <w:sz w:val="24"/>
          <w:szCs w:val="24"/>
        </w:rPr>
        <w:t xml:space="preserve">Data Set is accessible online at </w:t>
      </w:r>
      <w:hyperlink r:id="rId9">
        <w:r>
          <w:rPr>
            <w:color w:val="1155CC"/>
            <w:sz w:val="24"/>
            <w:szCs w:val="24"/>
            <w:u w:val="single"/>
          </w:rPr>
          <w:t>www.gsa.gov/frppreport</w:t>
        </w:r>
      </w:hyperlink>
      <w:r>
        <w:rPr>
          <w:sz w:val="24"/>
          <w:szCs w:val="24"/>
        </w:rPr>
        <w:t>.</w:t>
      </w:r>
    </w:p>
    <w:p w14:paraId="768D9965" w14:textId="77777777" w:rsidR="0074760C" w:rsidRDefault="0074760C">
      <w:pPr>
        <w:spacing w:line="240" w:lineRule="auto"/>
        <w:rPr>
          <w:sz w:val="24"/>
          <w:szCs w:val="24"/>
        </w:rPr>
      </w:pPr>
    </w:p>
    <w:p w14:paraId="31429E6B" w14:textId="5256CB87" w:rsidR="0074760C" w:rsidRDefault="0045718A">
      <w:pPr>
        <w:spacing w:line="240" w:lineRule="auto"/>
        <w:rPr>
          <w:i/>
          <w:sz w:val="24"/>
          <w:szCs w:val="24"/>
        </w:rPr>
      </w:pPr>
      <w:r>
        <w:rPr>
          <w:i/>
          <w:sz w:val="24"/>
          <w:szCs w:val="24"/>
        </w:rPr>
        <w:t>Department of Defense</w:t>
      </w:r>
      <w:r>
        <w:rPr>
          <w:i/>
          <w:sz w:val="24"/>
          <w:szCs w:val="24"/>
          <w:vertAlign w:val="superscript"/>
        </w:rPr>
        <w:footnoteReference w:id="1"/>
      </w:r>
      <w:r>
        <w:rPr>
          <w:i/>
          <w:sz w:val="24"/>
          <w:szCs w:val="24"/>
        </w:rPr>
        <w:t xml:space="preserve"> (DoD) data was not included in the FRPP Open Data Set in FY 2017 or FY 2018.  DoD made progress in addressing data quality concerns and is included in FY 2019</w:t>
      </w:r>
      <w:r w:rsidR="001753B3">
        <w:rPr>
          <w:i/>
          <w:sz w:val="24"/>
          <w:szCs w:val="24"/>
        </w:rPr>
        <w:t xml:space="preserve"> through</w:t>
      </w:r>
      <w:r w:rsidR="007D6B0C">
        <w:rPr>
          <w:i/>
          <w:sz w:val="24"/>
          <w:szCs w:val="24"/>
        </w:rPr>
        <w:t xml:space="preserve"> FY</w:t>
      </w:r>
      <w:r w:rsidR="00591758">
        <w:rPr>
          <w:i/>
          <w:sz w:val="24"/>
          <w:szCs w:val="24"/>
        </w:rPr>
        <w:t xml:space="preserve"> </w:t>
      </w:r>
      <w:r w:rsidR="002446F3">
        <w:rPr>
          <w:i/>
          <w:sz w:val="24"/>
          <w:szCs w:val="24"/>
        </w:rPr>
        <w:t>2022</w:t>
      </w:r>
      <w:r>
        <w:rPr>
          <w:i/>
          <w:sz w:val="24"/>
          <w:szCs w:val="24"/>
        </w:rPr>
        <w:t>. As a result, comparisons between FY 2019</w:t>
      </w:r>
      <w:r w:rsidR="001753B3">
        <w:rPr>
          <w:i/>
          <w:sz w:val="24"/>
          <w:szCs w:val="24"/>
        </w:rPr>
        <w:t xml:space="preserve"> through</w:t>
      </w:r>
      <w:r w:rsidR="007D6B0C">
        <w:rPr>
          <w:i/>
          <w:sz w:val="24"/>
          <w:szCs w:val="24"/>
        </w:rPr>
        <w:t xml:space="preserve"> FY </w:t>
      </w:r>
      <w:r w:rsidR="002446F3">
        <w:rPr>
          <w:i/>
          <w:sz w:val="24"/>
          <w:szCs w:val="24"/>
        </w:rPr>
        <w:t>2022</w:t>
      </w:r>
      <w:r w:rsidR="005813DE">
        <w:rPr>
          <w:i/>
          <w:sz w:val="24"/>
          <w:szCs w:val="24"/>
        </w:rPr>
        <w:t xml:space="preserve"> </w:t>
      </w:r>
      <w:r>
        <w:rPr>
          <w:i/>
          <w:sz w:val="24"/>
          <w:szCs w:val="24"/>
        </w:rPr>
        <w:t xml:space="preserve">and previous years’ data </w:t>
      </w:r>
      <w:r w:rsidR="001A4AF4">
        <w:rPr>
          <w:i/>
          <w:sz w:val="24"/>
          <w:szCs w:val="24"/>
        </w:rPr>
        <w:t xml:space="preserve">are </w:t>
      </w:r>
      <w:r>
        <w:rPr>
          <w:i/>
          <w:sz w:val="24"/>
          <w:szCs w:val="24"/>
        </w:rPr>
        <w:t>not recommended.</w:t>
      </w:r>
    </w:p>
    <w:p w14:paraId="63C449E8" w14:textId="77777777" w:rsidR="0074760C" w:rsidRDefault="0045718A">
      <w:pPr>
        <w:spacing w:line="240" w:lineRule="auto"/>
        <w:rPr>
          <w:b/>
          <w:sz w:val="26"/>
          <w:szCs w:val="26"/>
        </w:rPr>
      </w:pPr>
      <w:r>
        <w:rPr>
          <w:sz w:val="24"/>
          <w:szCs w:val="24"/>
        </w:rPr>
        <w:t xml:space="preserve"> </w:t>
      </w:r>
    </w:p>
    <w:p w14:paraId="7C543DB7" w14:textId="77777777" w:rsidR="0074760C" w:rsidRDefault="0045718A">
      <w:pPr>
        <w:spacing w:line="240" w:lineRule="auto"/>
        <w:rPr>
          <w:sz w:val="26"/>
          <w:szCs w:val="26"/>
        </w:rPr>
      </w:pPr>
      <w:r>
        <w:rPr>
          <w:b/>
          <w:sz w:val="26"/>
          <w:szCs w:val="26"/>
        </w:rPr>
        <w:t>Key Statistics</w:t>
      </w:r>
    </w:p>
    <w:p w14:paraId="46D0A006" w14:textId="3C8DA259" w:rsidR="0074760C" w:rsidRDefault="0045718A">
      <w:pPr>
        <w:spacing w:line="240" w:lineRule="auto"/>
        <w:rPr>
          <w:sz w:val="24"/>
          <w:szCs w:val="24"/>
        </w:rPr>
      </w:pPr>
      <w:r>
        <w:rPr>
          <w:sz w:val="24"/>
          <w:szCs w:val="24"/>
        </w:rPr>
        <w:t xml:space="preserve">In FY </w:t>
      </w:r>
      <w:r w:rsidR="002446F3">
        <w:rPr>
          <w:sz w:val="24"/>
          <w:szCs w:val="24"/>
        </w:rPr>
        <w:t>2022</w:t>
      </w:r>
      <w:r>
        <w:rPr>
          <w:sz w:val="24"/>
          <w:szCs w:val="24"/>
        </w:rPr>
        <w:t>, Chief Financial Officers (CFO) Act agencies had the following totals:</w:t>
      </w:r>
    </w:p>
    <w:p w14:paraId="4C97DA79" w14:textId="6239D53A" w:rsidR="0074760C" w:rsidRDefault="00864FB6">
      <w:pPr>
        <w:numPr>
          <w:ilvl w:val="0"/>
          <w:numId w:val="2"/>
        </w:numPr>
        <w:spacing w:line="240" w:lineRule="auto"/>
        <w:rPr>
          <w:sz w:val="24"/>
          <w:szCs w:val="24"/>
        </w:rPr>
      </w:pPr>
      <w:r>
        <w:rPr>
          <w:sz w:val="24"/>
          <w:szCs w:val="24"/>
        </w:rPr>
        <w:t>278,933</w:t>
      </w:r>
      <w:r w:rsidR="0045718A">
        <w:rPr>
          <w:sz w:val="24"/>
          <w:szCs w:val="24"/>
        </w:rPr>
        <w:t xml:space="preserve"> buildings</w:t>
      </w:r>
    </w:p>
    <w:p w14:paraId="78A53B0E" w14:textId="77777777" w:rsidR="0074760C" w:rsidRDefault="0045718A">
      <w:pPr>
        <w:numPr>
          <w:ilvl w:val="0"/>
          <w:numId w:val="2"/>
        </w:numPr>
        <w:spacing w:line="240" w:lineRule="auto"/>
        <w:rPr>
          <w:sz w:val="24"/>
          <w:szCs w:val="24"/>
        </w:rPr>
      </w:pPr>
      <w:r w:rsidRPr="00864FB6">
        <w:rPr>
          <w:sz w:val="24"/>
          <w:szCs w:val="24"/>
        </w:rPr>
        <w:t>2.8 billion</w:t>
      </w:r>
      <w:r>
        <w:rPr>
          <w:sz w:val="24"/>
          <w:szCs w:val="24"/>
        </w:rPr>
        <w:t xml:space="preserve"> square feet of buildings</w:t>
      </w:r>
    </w:p>
    <w:p w14:paraId="75D785E3" w14:textId="0B170966" w:rsidR="0074760C" w:rsidRDefault="00864FB6">
      <w:pPr>
        <w:numPr>
          <w:ilvl w:val="0"/>
          <w:numId w:val="2"/>
        </w:numPr>
        <w:spacing w:line="240" w:lineRule="auto"/>
        <w:rPr>
          <w:sz w:val="24"/>
          <w:szCs w:val="24"/>
        </w:rPr>
      </w:pPr>
      <w:r>
        <w:rPr>
          <w:sz w:val="24"/>
          <w:szCs w:val="24"/>
        </w:rPr>
        <w:t>557,168</w:t>
      </w:r>
      <w:r w:rsidR="0045718A">
        <w:rPr>
          <w:sz w:val="24"/>
          <w:szCs w:val="24"/>
        </w:rPr>
        <w:t xml:space="preserve"> structures</w:t>
      </w:r>
    </w:p>
    <w:p w14:paraId="683854C4" w14:textId="2D2352E2" w:rsidR="0074760C" w:rsidRDefault="006F69CF">
      <w:pPr>
        <w:numPr>
          <w:ilvl w:val="0"/>
          <w:numId w:val="2"/>
        </w:numPr>
        <w:spacing w:line="240" w:lineRule="auto"/>
        <w:rPr>
          <w:sz w:val="24"/>
          <w:szCs w:val="24"/>
        </w:rPr>
      </w:pPr>
      <w:r w:rsidRPr="00864FB6">
        <w:rPr>
          <w:sz w:val="24"/>
          <w:szCs w:val="24"/>
        </w:rPr>
        <w:t>27.</w:t>
      </w:r>
      <w:r w:rsidR="00414728" w:rsidRPr="00864FB6">
        <w:rPr>
          <w:sz w:val="24"/>
          <w:szCs w:val="24"/>
        </w:rPr>
        <w:t>3</w:t>
      </w:r>
      <w:r w:rsidR="0045718A">
        <w:rPr>
          <w:sz w:val="24"/>
          <w:szCs w:val="24"/>
        </w:rPr>
        <w:t xml:space="preserve"> million acres </w:t>
      </w:r>
      <w:r w:rsidR="005813DE">
        <w:rPr>
          <w:sz w:val="24"/>
          <w:szCs w:val="24"/>
        </w:rPr>
        <w:t xml:space="preserve">of </w:t>
      </w:r>
      <w:r w:rsidR="0045718A">
        <w:rPr>
          <w:sz w:val="24"/>
          <w:szCs w:val="24"/>
        </w:rPr>
        <w:t>land</w:t>
      </w:r>
    </w:p>
    <w:p w14:paraId="5418D46B" w14:textId="77777777" w:rsidR="0074760C" w:rsidRDefault="0074760C">
      <w:pPr>
        <w:spacing w:line="240" w:lineRule="auto"/>
        <w:ind w:left="720"/>
        <w:rPr>
          <w:sz w:val="24"/>
          <w:szCs w:val="24"/>
        </w:rPr>
      </w:pPr>
    </w:p>
    <w:p w14:paraId="5799F851" w14:textId="3595D443" w:rsidR="0074760C" w:rsidRDefault="0074760C">
      <w:pPr>
        <w:spacing w:line="240" w:lineRule="auto"/>
        <w:ind w:left="720"/>
        <w:rPr>
          <w:sz w:val="24"/>
          <w:szCs w:val="24"/>
        </w:rPr>
      </w:pPr>
    </w:p>
    <w:p w14:paraId="4FFCCF9A" w14:textId="77777777" w:rsidR="00CA6D41" w:rsidRDefault="00CA6D41">
      <w:pPr>
        <w:spacing w:line="240" w:lineRule="auto"/>
        <w:ind w:left="720"/>
        <w:rPr>
          <w:sz w:val="24"/>
          <w:szCs w:val="24"/>
        </w:rPr>
      </w:pPr>
    </w:p>
    <w:tbl>
      <w:tblPr>
        <w:tblStyle w:val="a"/>
        <w:tblW w:w="10890" w:type="dxa"/>
        <w:tblInd w:w="-3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5"/>
        <w:gridCol w:w="2105"/>
        <w:gridCol w:w="2040"/>
        <w:gridCol w:w="1755"/>
        <w:gridCol w:w="1710"/>
        <w:gridCol w:w="1905"/>
      </w:tblGrid>
      <w:tr w:rsidR="0074760C" w14:paraId="4CB2D532" w14:textId="77777777" w:rsidTr="00414728">
        <w:trPr>
          <w:trHeight w:val="620"/>
        </w:trPr>
        <w:tc>
          <w:tcPr>
            <w:tcW w:w="13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82766" w14:textId="77777777" w:rsidR="0074760C" w:rsidRDefault="0045718A">
            <w:pPr>
              <w:widowControl w:val="0"/>
              <w:spacing w:line="240" w:lineRule="auto"/>
              <w:jc w:val="center"/>
              <w:rPr>
                <w:b/>
                <w:sz w:val="20"/>
                <w:szCs w:val="20"/>
              </w:rPr>
            </w:pPr>
            <w:r>
              <w:rPr>
                <w:b/>
                <w:sz w:val="20"/>
                <w:szCs w:val="20"/>
              </w:rPr>
              <w:lastRenderedPageBreak/>
              <w:t>Real Property Type</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C4414" w14:textId="77777777" w:rsidR="0074760C" w:rsidRDefault="0045718A">
            <w:pPr>
              <w:widowControl w:val="0"/>
              <w:spacing w:line="240" w:lineRule="auto"/>
              <w:jc w:val="center"/>
              <w:rPr>
                <w:b/>
                <w:sz w:val="20"/>
                <w:szCs w:val="20"/>
              </w:rPr>
            </w:pPr>
            <w:r>
              <w:rPr>
                <w:b/>
                <w:sz w:val="20"/>
                <w:szCs w:val="20"/>
              </w:rPr>
              <w:t xml:space="preserve"> Legal Interest</w:t>
            </w:r>
          </w:p>
        </w:tc>
        <w:tc>
          <w:tcPr>
            <w:tcW w:w="2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C8CCD" w14:textId="77777777" w:rsidR="0074760C" w:rsidRDefault="0045718A">
            <w:pPr>
              <w:widowControl w:val="0"/>
              <w:spacing w:line="240" w:lineRule="auto"/>
              <w:jc w:val="center"/>
              <w:rPr>
                <w:b/>
                <w:sz w:val="20"/>
                <w:szCs w:val="20"/>
              </w:rPr>
            </w:pPr>
            <w:r>
              <w:rPr>
                <w:b/>
                <w:sz w:val="20"/>
                <w:szCs w:val="20"/>
              </w:rPr>
              <w:t xml:space="preserve"> Owned </w:t>
            </w:r>
          </w:p>
        </w:tc>
        <w:tc>
          <w:tcPr>
            <w:tcW w:w="17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296FF" w14:textId="77777777" w:rsidR="0074760C" w:rsidRDefault="0045718A">
            <w:pPr>
              <w:widowControl w:val="0"/>
              <w:spacing w:line="240" w:lineRule="auto"/>
              <w:jc w:val="center"/>
              <w:rPr>
                <w:b/>
                <w:sz w:val="20"/>
                <w:szCs w:val="20"/>
              </w:rPr>
            </w:pPr>
            <w:r>
              <w:rPr>
                <w:b/>
                <w:sz w:val="20"/>
                <w:szCs w:val="20"/>
              </w:rPr>
              <w:t>Leased</w:t>
            </w:r>
          </w:p>
        </w:tc>
        <w:tc>
          <w:tcPr>
            <w:tcW w:w="17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D79EA8" w14:textId="77777777" w:rsidR="0074760C" w:rsidRDefault="0045718A">
            <w:pPr>
              <w:widowControl w:val="0"/>
              <w:spacing w:line="240" w:lineRule="auto"/>
              <w:jc w:val="center"/>
              <w:rPr>
                <w:b/>
                <w:sz w:val="20"/>
                <w:szCs w:val="20"/>
              </w:rPr>
            </w:pPr>
            <w:r>
              <w:rPr>
                <w:b/>
                <w:sz w:val="20"/>
                <w:szCs w:val="20"/>
              </w:rPr>
              <w:t>Otherwise Managed</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E940F" w14:textId="77777777" w:rsidR="0074760C" w:rsidRDefault="0045718A">
            <w:pPr>
              <w:widowControl w:val="0"/>
              <w:spacing w:line="240" w:lineRule="auto"/>
              <w:jc w:val="center"/>
              <w:rPr>
                <w:b/>
                <w:sz w:val="20"/>
                <w:szCs w:val="20"/>
              </w:rPr>
            </w:pPr>
            <w:r>
              <w:rPr>
                <w:b/>
                <w:sz w:val="20"/>
                <w:szCs w:val="20"/>
              </w:rPr>
              <w:t>Total</w:t>
            </w:r>
          </w:p>
        </w:tc>
      </w:tr>
      <w:tr w:rsidR="00DE31DE" w14:paraId="2B4936C8" w14:textId="77777777" w:rsidTr="000609DC">
        <w:trPr>
          <w:trHeight w:val="288"/>
        </w:trPr>
        <w:tc>
          <w:tcPr>
            <w:tcW w:w="1375"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9BF87" w14:textId="77777777" w:rsidR="00DE31DE" w:rsidRDefault="00DE31DE" w:rsidP="00DE31DE">
            <w:pPr>
              <w:widowControl w:val="0"/>
              <w:spacing w:line="240" w:lineRule="auto"/>
              <w:rPr>
                <w:b/>
                <w:sz w:val="20"/>
                <w:szCs w:val="20"/>
              </w:rPr>
            </w:pPr>
            <w:r>
              <w:rPr>
                <w:b/>
                <w:sz w:val="20"/>
                <w:szCs w:val="20"/>
              </w:rPr>
              <w:t>Buildings</w:t>
            </w:r>
          </w:p>
        </w:tc>
        <w:tc>
          <w:tcPr>
            <w:tcW w:w="2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541C9" w14:textId="77777777" w:rsidR="00DE31DE" w:rsidRDefault="00DE31DE" w:rsidP="00DE31DE">
            <w:pPr>
              <w:widowControl w:val="0"/>
              <w:spacing w:line="240" w:lineRule="auto"/>
              <w:rPr>
                <w:b/>
                <w:sz w:val="20"/>
                <w:szCs w:val="20"/>
              </w:rPr>
            </w:pPr>
            <w:r>
              <w:rPr>
                <w:b/>
                <w:sz w:val="20"/>
                <w:szCs w:val="20"/>
              </w:rPr>
              <w:t>Total Number</w:t>
            </w:r>
          </w:p>
        </w:tc>
        <w:tc>
          <w:tcPr>
            <w:tcW w:w="2040" w:type="dxa"/>
            <w:tcMar>
              <w:top w:w="100" w:type="dxa"/>
              <w:left w:w="100" w:type="dxa"/>
              <w:bottom w:w="100" w:type="dxa"/>
              <w:right w:w="100" w:type="dxa"/>
            </w:tcMar>
          </w:tcPr>
          <w:p w14:paraId="0A598826" w14:textId="526EABC1" w:rsidR="00DE31DE" w:rsidRPr="00864FB6" w:rsidRDefault="00864FB6" w:rsidP="00864FB6">
            <w:pPr>
              <w:jc w:val="right"/>
              <w:rPr>
                <w:color w:val="000000"/>
                <w:sz w:val="20"/>
                <w:szCs w:val="20"/>
              </w:rPr>
            </w:pPr>
            <w:r w:rsidRPr="00864FB6">
              <w:rPr>
                <w:color w:val="000000"/>
                <w:sz w:val="20"/>
                <w:szCs w:val="20"/>
              </w:rPr>
              <w:t>245,344</w:t>
            </w:r>
          </w:p>
        </w:tc>
        <w:tc>
          <w:tcPr>
            <w:tcW w:w="1755" w:type="dxa"/>
            <w:tcMar>
              <w:top w:w="100" w:type="dxa"/>
              <w:left w:w="100" w:type="dxa"/>
              <w:bottom w:w="100" w:type="dxa"/>
              <w:right w:w="100" w:type="dxa"/>
            </w:tcMar>
          </w:tcPr>
          <w:p w14:paraId="27C8E243" w14:textId="14D34265" w:rsidR="00DE31DE" w:rsidRPr="000609DC" w:rsidRDefault="00864FB6" w:rsidP="000609DC">
            <w:pPr>
              <w:jc w:val="right"/>
              <w:rPr>
                <w:color w:val="000000"/>
                <w:sz w:val="20"/>
                <w:szCs w:val="20"/>
              </w:rPr>
            </w:pPr>
            <w:r w:rsidRPr="00864FB6">
              <w:rPr>
                <w:color w:val="000000"/>
                <w:sz w:val="20"/>
                <w:szCs w:val="20"/>
              </w:rPr>
              <w:t>18,304</w:t>
            </w:r>
          </w:p>
        </w:tc>
        <w:tc>
          <w:tcPr>
            <w:tcW w:w="1710" w:type="dxa"/>
            <w:tcMar>
              <w:top w:w="100" w:type="dxa"/>
              <w:left w:w="100" w:type="dxa"/>
              <w:bottom w:w="100" w:type="dxa"/>
              <w:right w:w="100" w:type="dxa"/>
            </w:tcMar>
          </w:tcPr>
          <w:p w14:paraId="609CF09D" w14:textId="07A6E0A8" w:rsidR="00DE31DE" w:rsidRPr="000609DC" w:rsidRDefault="00864FB6" w:rsidP="000609DC">
            <w:pPr>
              <w:jc w:val="right"/>
              <w:rPr>
                <w:color w:val="000000"/>
                <w:sz w:val="20"/>
                <w:szCs w:val="20"/>
              </w:rPr>
            </w:pPr>
            <w:r w:rsidRPr="00864FB6">
              <w:rPr>
                <w:color w:val="000000"/>
                <w:sz w:val="20"/>
                <w:szCs w:val="20"/>
              </w:rPr>
              <w:t>15,285</w:t>
            </w:r>
          </w:p>
        </w:tc>
        <w:tc>
          <w:tcPr>
            <w:tcW w:w="1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7B3CA" w14:textId="67FE5567" w:rsidR="00DE31DE" w:rsidRPr="000609DC" w:rsidRDefault="00864FB6" w:rsidP="00864FB6">
            <w:pPr>
              <w:jc w:val="right"/>
              <w:rPr>
                <w:b/>
                <w:bCs/>
                <w:color w:val="000000"/>
                <w:sz w:val="20"/>
                <w:szCs w:val="20"/>
              </w:rPr>
            </w:pPr>
            <w:r w:rsidRPr="000609DC">
              <w:rPr>
                <w:b/>
                <w:bCs/>
                <w:color w:val="000000"/>
                <w:sz w:val="20"/>
                <w:szCs w:val="20"/>
              </w:rPr>
              <w:t>278,933</w:t>
            </w:r>
          </w:p>
        </w:tc>
      </w:tr>
      <w:tr w:rsidR="00414728" w14:paraId="03C42F17" w14:textId="77777777" w:rsidTr="000609DC">
        <w:trPr>
          <w:trHeight w:val="288"/>
        </w:trPr>
        <w:tc>
          <w:tcPr>
            <w:tcW w:w="13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C76DCD" w14:textId="77777777" w:rsidR="00414728" w:rsidRDefault="00414728" w:rsidP="00414728">
            <w:pPr>
              <w:widowControl w:val="0"/>
              <w:pBdr>
                <w:top w:val="nil"/>
                <w:left w:val="nil"/>
                <w:bottom w:val="nil"/>
                <w:right w:val="nil"/>
                <w:between w:val="nil"/>
              </w:pBd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CC0E77" w14:textId="77777777" w:rsidR="00414728" w:rsidRDefault="00414728" w:rsidP="00414728">
            <w:pPr>
              <w:widowControl w:val="0"/>
              <w:spacing w:line="240" w:lineRule="auto"/>
              <w:rPr>
                <w:b/>
                <w:sz w:val="20"/>
                <w:szCs w:val="20"/>
              </w:rPr>
            </w:pPr>
            <w:r>
              <w:rPr>
                <w:b/>
                <w:sz w:val="20"/>
                <w:szCs w:val="20"/>
              </w:rPr>
              <w:t>Total Square Feet</w:t>
            </w:r>
          </w:p>
        </w:tc>
        <w:tc>
          <w:tcPr>
            <w:tcW w:w="2040" w:type="dxa"/>
            <w:shd w:val="clear" w:color="auto" w:fill="auto"/>
            <w:tcMar>
              <w:top w:w="100" w:type="dxa"/>
              <w:left w:w="100" w:type="dxa"/>
              <w:bottom w:w="100" w:type="dxa"/>
              <w:right w:w="100" w:type="dxa"/>
            </w:tcMar>
          </w:tcPr>
          <w:p w14:paraId="5A53BF86" w14:textId="6536B732" w:rsidR="00414728" w:rsidRPr="000609DC" w:rsidRDefault="00864FB6" w:rsidP="000609DC">
            <w:pPr>
              <w:jc w:val="right"/>
              <w:rPr>
                <w:rFonts w:ascii="Calibri" w:hAnsi="Calibri" w:cs="Calibri"/>
                <w:color w:val="000000"/>
              </w:rPr>
            </w:pPr>
            <w:r>
              <w:rPr>
                <w:rFonts w:ascii="Calibri" w:hAnsi="Calibri" w:cs="Calibri"/>
                <w:color w:val="000000"/>
              </w:rPr>
              <w:t>2,413,809,203</w:t>
            </w:r>
          </w:p>
        </w:tc>
        <w:tc>
          <w:tcPr>
            <w:tcW w:w="1755" w:type="dxa"/>
            <w:shd w:val="clear" w:color="auto" w:fill="auto"/>
            <w:tcMar>
              <w:top w:w="100" w:type="dxa"/>
              <w:left w:w="100" w:type="dxa"/>
              <w:bottom w:w="100" w:type="dxa"/>
              <w:right w:w="100" w:type="dxa"/>
            </w:tcMar>
          </w:tcPr>
          <w:p w14:paraId="59E75EC8" w14:textId="281FF47C" w:rsidR="00414728" w:rsidRPr="000609DC" w:rsidRDefault="00864FB6" w:rsidP="000609DC">
            <w:pPr>
              <w:jc w:val="right"/>
              <w:rPr>
                <w:rFonts w:ascii="Calibri" w:hAnsi="Calibri" w:cs="Calibri"/>
                <w:color w:val="000000"/>
              </w:rPr>
            </w:pPr>
            <w:r>
              <w:rPr>
                <w:rFonts w:ascii="Calibri" w:hAnsi="Calibri" w:cs="Calibri"/>
                <w:color w:val="000000"/>
              </w:rPr>
              <w:t>277,054,907</w:t>
            </w:r>
          </w:p>
        </w:tc>
        <w:tc>
          <w:tcPr>
            <w:tcW w:w="1710" w:type="dxa"/>
            <w:shd w:val="clear" w:color="auto" w:fill="auto"/>
            <w:tcMar>
              <w:top w:w="100" w:type="dxa"/>
              <w:left w:w="100" w:type="dxa"/>
              <w:bottom w:w="100" w:type="dxa"/>
              <w:right w:w="100" w:type="dxa"/>
            </w:tcMar>
          </w:tcPr>
          <w:p w14:paraId="1C2BF61A" w14:textId="6CF30E9D" w:rsidR="00414728" w:rsidRPr="000609DC" w:rsidRDefault="00864FB6" w:rsidP="000609DC">
            <w:pPr>
              <w:jc w:val="right"/>
              <w:rPr>
                <w:rFonts w:ascii="Calibri" w:hAnsi="Calibri" w:cs="Calibri"/>
                <w:color w:val="000000"/>
              </w:rPr>
            </w:pPr>
            <w:r>
              <w:rPr>
                <w:rFonts w:ascii="Calibri" w:hAnsi="Calibri" w:cs="Calibri"/>
                <w:color w:val="000000"/>
              </w:rPr>
              <w:t>123,643,277</w:t>
            </w:r>
          </w:p>
        </w:tc>
        <w:tc>
          <w:tcPr>
            <w:tcW w:w="1905" w:type="dxa"/>
            <w:shd w:val="clear" w:color="auto" w:fill="auto"/>
            <w:tcMar>
              <w:top w:w="100" w:type="dxa"/>
              <w:left w:w="100" w:type="dxa"/>
              <w:bottom w:w="100" w:type="dxa"/>
              <w:right w:w="100" w:type="dxa"/>
            </w:tcMar>
          </w:tcPr>
          <w:p w14:paraId="5D8CF5F2" w14:textId="43848782" w:rsidR="00414728" w:rsidRPr="000609DC" w:rsidRDefault="00864FB6" w:rsidP="000609DC">
            <w:pPr>
              <w:jc w:val="right"/>
              <w:rPr>
                <w:rFonts w:ascii="Calibri" w:hAnsi="Calibri" w:cs="Calibri"/>
                <w:b/>
                <w:bCs/>
                <w:color w:val="000000"/>
              </w:rPr>
            </w:pPr>
            <w:r w:rsidRPr="000609DC">
              <w:rPr>
                <w:rFonts w:ascii="Calibri" w:hAnsi="Calibri" w:cs="Calibri"/>
                <w:b/>
                <w:bCs/>
                <w:color w:val="000000"/>
              </w:rPr>
              <w:t>2,814,507,387</w:t>
            </w:r>
          </w:p>
        </w:tc>
      </w:tr>
      <w:tr w:rsidR="00414728" w:rsidRPr="001D1589" w14:paraId="635D838C" w14:textId="77777777" w:rsidTr="000609DC">
        <w:trPr>
          <w:trHeight w:val="288"/>
        </w:trPr>
        <w:tc>
          <w:tcPr>
            <w:tcW w:w="1375"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4F4798" w14:textId="77777777" w:rsidR="00414728" w:rsidRDefault="00414728" w:rsidP="00414728">
            <w:pPr>
              <w:widowControl w:val="0"/>
              <w:pBdr>
                <w:top w:val="nil"/>
                <w:left w:val="nil"/>
                <w:bottom w:val="nil"/>
                <w:right w:val="nil"/>
                <w:between w:val="nil"/>
              </w:pBd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A5B93" w14:textId="77777777" w:rsidR="00414728" w:rsidRPr="001D1589" w:rsidRDefault="00414728" w:rsidP="00414728">
            <w:pPr>
              <w:widowControl w:val="0"/>
              <w:spacing w:line="240" w:lineRule="auto"/>
              <w:rPr>
                <w:b/>
                <w:sz w:val="20"/>
                <w:szCs w:val="20"/>
              </w:rPr>
            </w:pPr>
            <w:r w:rsidRPr="001D1589">
              <w:rPr>
                <w:b/>
                <w:sz w:val="20"/>
                <w:szCs w:val="20"/>
              </w:rPr>
              <w:t>Total Annual Costs</w:t>
            </w:r>
            <w:r w:rsidRPr="001D1589">
              <w:rPr>
                <w:b/>
                <w:sz w:val="20"/>
                <w:szCs w:val="20"/>
                <w:vertAlign w:val="superscript"/>
              </w:rPr>
              <w:footnoteReference w:id="2"/>
            </w:r>
          </w:p>
        </w:tc>
        <w:tc>
          <w:tcPr>
            <w:tcW w:w="2040" w:type="dxa"/>
            <w:shd w:val="clear" w:color="auto" w:fill="auto"/>
            <w:tcMar>
              <w:top w:w="100" w:type="dxa"/>
              <w:left w:w="100" w:type="dxa"/>
              <w:bottom w:w="100" w:type="dxa"/>
              <w:right w:w="100" w:type="dxa"/>
            </w:tcMar>
          </w:tcPr>
          <w:p w14:paraId="5517E992" w14:textId="7F1ED2ED" w:rsidR="00414728" w:rsidRPr="000609DC" w:rsidRDefault="00864FB6" w:rsidP="000609DC">
            <w:pPr>
              <w:jc w:val="right"/>
              <w:rPr>
                <w:rFonts w:ascii="Calibri" w:hAnsi="Calibri" w:cs="Calibri"/>
                <w:color w:val="000000"/>
              </w:rPr>
            </w:pPr>
            <w:r>
              <w:rPr>
                <w:rFonts w:ascii="Calibri" w:hAnsi="Calibri" w:cs="Calibri"/>
                <w:color w:val="000000"/>
              </w:rPr>
              <w:t>$16,410,378,098</w:t>
            </w:r>
          </w:p>
        </w:tc>
        <w:tc>
          <w:tcPr>
            <w:tcW w:w="1755" w:type="dxa"/>
            <w:shd w:val="clear" w:color="auto" w:fill="auto"/>
            <w:tcMar>
              <w:top w:w="100" w:type="dxa"/>
              <w:left w:w="100" w:type="dxa"/>
              <w:bottom w:w="100" w:type="dxa"/>
              <w:right w:w="100" w:type="dxa"/>
            </w:tcMar>
          </w:tcPr>
          <w:p w14:paraId="116877B5" w14:textId="35E7508C" w:rsidR="00414728" w:rsidRPr="000609DC" w:rsidRDefault="00864FB6" w:rsidP="000609DC">
            <w:pPr>
              <w:jc w:val="right"/>
              <w:rPr>
                <w:rFonts w:ascii="Calibri" w:hAnsi="Calibri" w:cs="Calibri"/>
                <w:color w:val="000000"/>
              </w:rPr>
            </w:pPr>
            <w:r>
              <w:rPr>
                <w:rFonts w:ascii="Calibri" w:hAnsi="Calibri" w:cs="Calibri"/>
                <w:color w:val="000000"/>
              </w:rPr>
              <w:t>$8,319,884,255</w:t>
            </w:r>
          </w:p>
        </w:tc>
        <w:tc>
          <w:tcPr>
            <w:tcW w:w="1710" w:type="dxa"/>
            <w:shd w:val="clear" w:color="auto" w:fill="auto"/>
            <w:tcMar>
              <w:top w:w="100" w:type="dxa"/>
              <w:left w:w="100" w:type="dxa"/>
              <w:bottom w:w="100" w:type="dxa"/>
              <w:right w:w="100" w:type="dxa"/>
            </w:tcMar>
          </w:tcPr>
          <w:p w14:paraId="6FC52348" w14:textId="0609CC0D" w:rsidR="00414728" w:rsidRPr="000609DC" w:rsidRDefault="00864FB6" w:rsidP="000609DC">
            <w:pPr>
              <w:jc w:val="right"/>
              <w:rPr>
                <w:rFonts w:ascii="Calibri" w:hAnsi="Calibri" w:cs="Calibri"/>
                <w:color w:val="000000"/>
              </w:rPr>
            </w:pPr>
            <w:r>
              <w:rPr>
                <w:rFonts w:ascii="Calibri" w:hAnsi="Calibri" w:cs="Calibri"/>
                <w:color w:val="000000"/>
              </w:rPr>
              <w:t>$667,490,356</w:t>
            </w:r>
          </w:p>
        </w:tc>
        <w:tc>
          <w:tcPr>
            <w:tcW w:w="1905" w:type="dxa"/>
            <w:shd w:val="clear" w:color="auto" w:fill="auto"/>
            <w:tcMar>
              <w:top w:w="100" w:type="dxa"/>
              <w:left w:w="100" w:type="dxa"/>
              <w:bottom w:w="100" w:type="dxa"/>
              <w:right w:w="100" w:type="dxa"/>
            </w:tcMar>
          </w:tcPr>
          <w:p w14:paraId="78E77AC3" w14:textId="40E5C33F" w:rsidR="00414728" w:rsidRPr="000609DC" w:rsidRDefault="00864FB6" w:rsidP="000609DC">
            <w:pPr>
              <w:jc w:val="right"/>
              <w:rPr>
                <w:rFonts w:ascii="Calibri" w:hAnsi="Calibri" w:cs="Calibri"/>
                <w:b/>
                <w:bCs/>
                <w:color w:val="000000"/>
              </w:rPr>
            </w:pPr>
            <w:r w:rsidRPr="000609DC">
              <w:rPr>
                <w:rFonts w:ascii="Calibri" w:hAnsi="Calibri" w:cs="Calibri"/>
                <w:b/>
                <w:bCs/>
                <w:color w:val="000000"/>
              </w:rPr>
              <w:t>$25,397,752,708</w:t>
            </w:r>
          </w:p>
        </w:tc>
      </w:tr>
      <w:tr w:rsidR="00414728" w:rsidRPr="001D1589" w14:paraId="4FFA2E27" w14:textId="77777777" w:rsidTr="000609DC">
        <w:trPr>
          <w:trHeight w:val="288"/>
        </w:trPr>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C83AE" w14:textId="77777777" w:rsidR="00414728" w:rsidRPr="001D1589" w:rsidRDefault="00414728" w:rsidP="00414728">
            <w:pPr>
              <w:widowControl w:val="0"/>
              <w:spacing w:line="240" w:lineRule="auto"/>
              <w:rPr>
                <w:b/>
                <w:sz w:val="20"/>
                <w:szCs w:val="20"/>
              </w:rPr>
            </w:pPr>
            <w:r w:rsidRPr="001D1589">
              <w:rPr>
                <w:b/>
                <w:sz w:val="20"/>
                <w:szCs w:val="20"/>
              </w:rPr>
              <w:t>Structures</w:t>
            </w: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A45A51" w14:textId="77777777" w:rsidR="00414728" w:rsidRPr="001D1589" w:rsidRDefault="00414728" w:rsidP="00414728">
            <w:pPr>
              <w:widowControl w:val="0"/>
              <w:spacing w:line="240" w:lineRule="auto"/>
              <w:rPr>
                <w:b/>
                <w:sz w:val="20"/>
                <w:szCs w:val="20"/>
              </w:rPr>
            </w:pPr>
            <w:r w:rsidRPr="001D1589">
              <w:rPr>
                <w:b/>
                <w:sz w:val="20"/>
                <w:szCs w:val="20"/>
              </w:rPr>
              <w:t>Total Number</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29A06E" w14:textId="49802E63" w:rsidR="00414728" w:rsidRPr="000609DC" w:rsidRDefault="00864FB6" w:rsidP="000609DC">
            <w:pPr>
              <w:jc w:val="right"/>
              <w:rPr>
                <w:rFonts w:ascii="Calibri" w:hAnsi="Calibri" w:cs="Calibri"/>
                <w:color w:val="000000"/>
              </w:rPr>
            </w:pPr>
            <w:r>
              <w:rPr>
                <w:rFonts w:ascii="Calibri" w:hAnsi="Calibri" w:cs="Calibri"/>
                <w:color w:val="000000"/>
              </w:rPr>
              <w:t>464,227</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FC6EFB" w14:textId="55807863" w:rsidR="00414728" w:rsidRPr="000609DC" w:rsidRDefault="00864FB6" w:rsidP="000609DC">
            <w:pPr>
              <w:jc w:val="right"/>
              <w:rPr>
                <w:rFonts w:ascii="Calibri" w:hAnsi="Calibri" w:cs="Calibri"/>
                <w:color w:val="000000"/>
              </w:rPr>
            </w:pPr>
            <w:r>
              <w:rPr>
                <w:rFonts w:ascii="Calibri" w:hAnsi="Calibri" w:cs="Calibri"/>
                <w:color w:val="000000"/>
              </w:rPr>
              <w:t>3,351</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A76EA" w14:textId="3C97416F" w:rsidR="00414728" w:rsidRPr="000609DC" w:rsidRDefault="00864FB6" w:rsidP="000609DC">
            <w:pPr>
              <w:jc w:val="right"/>
              <w:rPr>
                <w:rFonts w:ascii="Calibri" w:hAnsi="Calibri" w:cs="Calibri"/>
                <w:color w:val="000000"/>
              </w:rPr>
            </w:pPr>
            <w:r>
              <w:rPr>
                <w:rFonts w:ascii="Calibri" w:hAnsi="Calibri" w:cs="Calibri"/>
                <w:color w:val="000000"/>
              </w:rPr>
              <w:t>89,590</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0BFC9" w14:textId="11B62681" w:rsidR="00414728" w:rsidRPr="000609DC" w:rsidRDefault="00864FB6" w:rsidP="000609DC">
            <w:pPr>
              <w:jc w:val="right"/>
              <w:rPr>
                <w:rFonts w:ascii="Calibri" w:hAnsi="Calibri" w:cs="Calibri"/>
                <w:b/>
                <w:bCs/>
                <w:color w:val="000000"/>
              </w:rPr>
            </w:pPr>
            <w:r w:rsidRPr="000609DC">
              <w:rPr>
                <w:rFonts w:ascii="Calibri" w:hAnsi="Calibri" w:cs="Calibri"/>
                <w:b/>
                <w:bCs/>
                <w:color w:val="000000"/>
              </w:rPr>
              <w:t>557,168</w:t>
            </w:r>
          </w:p>
        </w:tc>
      </w:tr>
      <w:tr w:rsidR="00414728" w:rsidRPr="001D1589" w14:paraId="7A788F5B" w14:textId="77777777" w:rsidTr="000609DC">
        <w:trPr>
          <w:trHeight w:val="288"/>
        </w:trPr>
        <w:tc>
          <w:tcPr>
            <w:tcW w:w="13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C9677B" w14:textId="77777777" w:rsidR="00414728" w:rsidRPr="001D1589" w:rsidRDefault="00414728" w:rsidP="00414728">
            <w:pPr>
              <w:widowControl w:val="0"/>
              <w:pBdr>
                <w:top w:val="nil"/>
                <w:left w:val="nil"/>
                <w:bottom w:val="nil"/>
                <w:right w:val="nil"/>
                <w:between w:val="nil"/>
              </w:pBd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3C74F" w14:textId="77777777" w:rsidR="00414728" w:rsidRPr="001D1589" w:rsidRDefault="00414728" w:rsidP="00414728">
            <w:pPr>
              <w:widowControl w:val="0"/>
              <w:spacing w:line="240" w:lineRule="auto"/>
              <w:rPr>
                <w:b/>
                <w:sz w:val="20"/>
                <w:szCs w:val="20"/>
              </w:rPr>
            </w:pPr>
            <w:r w:rsidRPr="001D1589">
              <w:rPr>
                <w:b/>
                <w:sz w:val="20"/>
                <w:szCs w:val="20"/>
              </w:rPr>
              <w:t>Total Annual Costs</w:t>
            </w:r>
          </w:p>
        </w:tc>
        <w:tc>
          <w:tcPr>
            <w:tcW w:w="2040" w:type="dxa"/>
            <w:shd w:val="clear" w:color="auto" w:fill="auto"/>
            <w:tcMar>
              <w:top w:w="100" w:type="dxa"/>
              <w:left w:w="100" w:type="dxa"/>
              <w:bottom w:w="100" w:type="dxa"/>
              <w:right w:w="100" w:type="dxa"/>
            </w:tcMar>
          </w:tcPr>
          <w:p w14:paraId="2851CB36" w14:textId="13EFDAEA" w:rsidR="00414728" w:rsidRPr="000609DC" w:rsidRDefault="00864FB6" w:rsidP="000609DC">
            <w:pPr>
              <w:jc w:val="right"/>
              <w:rPr>
                <w:rFonts w:ascii="Calibri" w:hAnsi="Calibri" w:cs="Calibri"/>
                <w:color w:val="000000"/>
              </w:rPr>
            </w:pPr>
            <w:r>
              <w:rPr>
                <w:rFonts w:ascii="Calibri" w:hAnsi="Calibri" w:cs="Calibri"/>
                <w:color w:val="000000"/>
              </w:rPr>
              <w:t>$12,067,639,681</w:t>
            </w:r>
          </w:p>
        </w:tc>
        <w:tc>
          <w:tcPr>
            <w:tcW w:w="1755" w:type="dxa"/>
            <w:shd w:val="clear" w:color="auto" w:fill="auto"/>
            <w:tcMar>
              <w:top w:w="100" w:type="dxa"/>
              <w:left w:w="100" w:type="dxa"/>
              <w:bottom w:w="100" w:type="dxa"/>
              <w:right w:w="100" w:type="dxa"/>
            </w:tcMar>
          </w:tcPr>
          <w:p w14:paraId="64EDA238" w14:textId="73ADF163" w:rsidR="00414728" w:rsidRPr="000609DC" w:rsidRDefault="00864FB6" w:rsidP="000609DC">
            <w:pPr>
              <w:jc w:val="right"/>
              <w:rPr>
                <w:rFonts w:ascii="Calibri" w:hAnsi="Calibri" w:cs="Calibri"/>
                <w:color w:val="000000"/>
              </w:rPr>
            </w:pPr>
            <w:r>
              <w:rPr>
                <w:rFonts w:ascii="Calibri" w:hAnsi="Calibri" w:cs="Calibri"/>
                <w:color w:val="000000"/>
              </w:rPr>
              <w:t>$94,462,519</w:t>
            </w:r>
          </w:p>
        </w:tc>
        <w:tc>
          <w:tcPr>
            <w:tcW w:w="1710" w:type="dxa"/>
            <w:shd w:val="clear" w:color="auto" w:fill="auto"/>
            <w:tcMar>
              <w:top w:w="100" w:type="dxa"/>
              <w:left w:w="100" w:type="dxa"/>
              <w:bottom w:w="100" w:type="dxa"/>
              <w:right w:w="100" w:type="dxa"/>
            </w:tcMar>
          </w:tcPr>
          <w:p w14:paraId="0B7522C0" w14:textId="73124D83" w:rsidR="00414728" w:rsidRPr="000609DC" w:rsidRDefault="000609DC" w:rsidP="000609DC">
            <w:pPr>
              <w:jc w:val="right"/>
              <w:rPr>
                <w:rFonts w:ascii="Calibri" w:hAnsi="Calibri" w:cs="Calibri"/>
                <w:color w:val="000000"/>
              </w:rPr>
            </w:pPr>
            <w:r>
              <w:rPr>
                <w:rFonts w:ascii="Calibri" w:hAnsi="Calibri" w:cs="Calibri"/>
                <w:color w:val="000000"/>
              </w:rPr>
              <w:t>$286,077,082</w:t>
            </w:r>
          </w:p>
        </w:tc>
        <w:tc>
          <w:tcPr>
            <w:tcW w:w="1905" w:type="dxa"/>
            <w:shd w:val="clear" w:color="auto" w:fill="auto"/>
            <w:tcMar>
              <w:top w:w="100" w:type="dxa"/>
              <w:left w:w="100" w:type="dxa"/>
              <w:bottom w:w="100" w:type="dxa"/>
              <w:right w:w="100" w:type="dxa"/>
            </w:tcMar>
          </w:tcPr>
          <w:p w14:paraId="27C2E283" w14:textId="20347FD2" w:rsidR="00414728" w:rsidRPr="000609DC" w:rsidRDefault="000609DC" w:rsidP="000609DC">
            <w:pPr>
              <w:jc w:val="right"/>
              <w:rPr>
                <w:rFonts w:ascii="Calibri" w:hAnsi="Calibri" w:cs="Calibri"/>
                <w:b/>
                <w:bCs/>
                <w:color w:val="000000"/>
              </w:rPr>
            </w:pPr>
            <w:r w:rsidRPr="000609DC">
              <w:rPr>
                <w:rFonts w:ascii="Calibri" w:hAnsi="Calibri" w:cs="Calibri"/>
                <w:b/>
                <w:bCs/>
                <w:color w:val="000000"/>
              </w:rPr>
              <w:t>$12,448,179,282</w:t>
            </w:r>
          </w:p>
        </w:tc>
      </w:tr>
      <w:tr w:rsidR="00414728" w:rsidRPr="001D1589" w14:paraId="0002C4F0" w14:textId="77777777" w:rsidTr="000609DC">
        <w:trPr>
          <w:trHeight w:val="288"/>
        </w:trPr>
        <w:tc>
          <w:tcPr>
            <w:tcW w:w="137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20991B" w14:textId="77777777" w:rsidR="00414728" w:rsidRPr="001D1589" w:rsidRDefault="00414728" w:rsidP="00414728">
            <w:pPr>
              <w:widowControl w:val="0"/>
              <w:spacing w:line="240" w:lineRule="auto"/>
              <w:rPr>
                <w:b/>
                <w:sz w:val="20"/>
                <w:szCs w:val="20"/>
              </w:rPr>
            </w:pPr>
            <w:r w:rsidRPr="001D1589">
              <w:rPr>
                <w:b/>
                <w:sz w:val="20"/>
                <w:szCs w:val="20"/>
              </w:rPr>
              <w:t>Land</w:t>
            </w: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E952C" w14:textId="77777777" w:rsidR="00414728" w:rsidRPr="001D1589" w:rsidRDefault="00414728" w:rsidP="00414728">
            <w:pPr>
              <w:widowControl w:val="0"/>
              <w:spacing w:line="240" w:lineRule="auto"/>
              <w:rPr>
                <w:b/>
                <w:sz w:val="20"/>
                <w:szCs w:val="20"/>
              </w:rPr>
            </w:pPr>
            <w:r w:rsidRPr="001D1589">
              <w:rPr>
                <w:b/>
                <w:sz w:val="20"/>
                <w:szCs w:val="20"/>
              </w:rPr>
              <w:t>Total Acres</w:t>
            </w:r>
          </w:p>
        </w:tc>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CD9645" w14:textId="19185E0E" w:rsidR="00414728" w:rsidRPr="000609DC" w:rsidRDefault="000609DC" w:rsidP="000609DC">
            <w:pPr>
              <w:jc w:val="right"/>
              <w:rPr>
                <w:rFonts w:ascii="Calibri" w:hAnsi="Calibri" w:cs="Calibri"/>
                <w:color w:val="000000"/>
              </w:rPr>
            </w:pPr>
            <w:r>
              <w:rPr>
                <w:rFonts w:ascii="Calibri" w:hAnsi="Calibri" w:cs="Calibri"/>
                <w:color w:val="000000"/>
              </w:rPr>
              <w:t>19,725,557</w:t>
            </w:r>
          </w:p>
        </w:tc>
        <w:tc>
          <w:tcPr>
            <w:tcW w:w="17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AB460" w14:textId="56DCEC7E" w:rsidR="00414728" w:rsidRPr="000609DC" w:rsidRDefault="000609DC" w:rsidP="000609DC">
            <w:pPr>
              <w:jc w:val="right"/>
              <w:rPr>
                <w:rFonts w:ascii="Calibri" w:hAnsi="Calibri" w:cs="Calibri"/>
                <w:color w:val="000000"/>
              </w:rPr>
            </w:pPr>
            <w:r>
              <w:rPr>
                <w:rFonts w:ascii="Calibri" w:hAnsi="Calibri" w:cs="Calibri"/>
                <w:color w:val="000000"/>
              </w:rPr>
              <w:t>1,579,353</w:t>
            </w:r>
          </w:p>
        </w:tc>
        <w:tc>
          <w:tcPr>
            <w:tcW w:w="17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6A283" w14:textId="74697A75" w:rsidR="00414728" w:rsidRPr="000609DC" w:rsidRDefault="000609DC" w:rsidP="000609DC">
            <w:pPr>
              <w:jc w:val="right"/>
              <w:rPr>
                <w:rFonts w:ascii="Calibri" w:hAnsi="Calibri" w:cs="Calibri"/>
                <w:color w:val="000000"/>
              </w:rPr>
            </w:pPr>
            <w:r>
              <w:rPr>
                <w:rFonts w:ascii="Calibri" w:hAnsi="Calibri" w:cs="Calibri"/>
                <w:color w:val="000000"/>
              </w:rPr>
              <w:t>6,037,653</w:t>
            </w:r>
          </w:p>
        </w:tc>
        <w:tc>
          <w:tcPr>
            <w:tcW w:w="19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55B0C" w14:textId="0D8BCECC" w:rsidR="00414728" w:rsidRPr="000609DC" w:rsidRDefault="000609DC" w:rsidP="000609DC">
            <w:pPr>
              <w:jc w:val="right"/>
              <w:rPr>
                <w:rFonts w:ascii="Calibri" w:hAnsi="Calibri" w:cs="Calibri"/>
                <w:b/>
                <w:bCs/>
                <w:color w:val="000000"/>
              </w:rPr>
            </w:pPr>
            <w:r w:rsidRPr="000609DC">
              <w:rPr>
                <w:rFonts w:ascii="Calibri" w:hAnsi="Calibri" w:cs="Calibri"/>
                <w:b/>
                <w:bCs/>
                <w:color w:val="000000"/>
              </w:rPr>
              <w:t>27,342,563</w:t>
            </w:r>
          </w:p>
        </w:tc>
      </w:tr>
      <w:tr w:rsidR="00414728" w14:paraId="5D267A46" w14:textId="77777777" w:rsidTr="000609DC">
        <w:trPr>
          <w:trHeight w:val="288"/>
        </w:trPr>
        <w:tc>
          <w:tcPr>
            <w:tcW w:w="137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9DC1F" w14:textId="77777777" w:rsidR="00414728" w:rsidRPr="001D1589" w:rsidRDefault="00414728" w:rsidP="00414728">
            <w:pPr>
              <w:widowControl w:val="0"/>
              <w:pBdr>
                <w:top w:val="nil"/>
                <w:left w:val="nil"/>
                <w:bottom w:val="nil"/>
                <w:right w:val="nil"/>
                <w:between w:val="nil"/>
              </w:pBdr>
            </w:pPr>
          </w:p>
        </w:tc>
        <w:tc>
          <w:tcPr>
            <w:tcW w:w="2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E35D3" w14:textId="77777777" w:rsidR="00414728" w:rsidRPr="001D1589" w:rsidRDefault="00414728" w:rsidP="00414728">
            <w:pPr>
              <w:widowControl w:val="0"/>
              <w:spacing w:line="240" w:lineRule="auto"/>
              <w:rPr>
                <w:b/>
                <w:sz w:val="20"/>
                <w:szCs w:val="20"/>
              </w:rPr>
            </w:pPr>
            <w:r w:rsidRPr="001D1589">
              <w:rPr>
                <w:b/>
                <w:sz w:val="20"/>
                <w:szCs w:val="20"/>
              </w:rPr>
              <w:t>Total Annual Costs</w:t>
            </w:r>
          </w:p>
        </w:tc>
        <w:tc>
          <w:tcPr>
            <w:tcW w:w="2040" w:type="dxa"/>
            <w:shd w:val="clear" w:color="auto" w:fill="auto"/>
            <w:tcMar>
              <w:top w:w="100" w:type="dxa"/>
              <w:left w:w="100" w:type="dxa"/>
              <w:bottom w:w="100" w:type="dxa"/>
              <w:right w:w="100" w:type="dxa"/>
            </w:tcMar>
          </w:tcPr>
          <w:p w14:paraId="53B3DFE7" w14:textId="478917FD" w:rsidR="00414728" w:rsidRPr="000609DC" w:rsidRDefault="000609DC" w:rsidP="000609DC">
            <w:pPr>
              <w:jc w:val="right"/>
              <w:rPr>
                <w:rFonts w:ascii="Calibri" w:hAnsi="Calibri" w:cs="Calibri"/>
                <w:color w:val="000000"/>
              </w:rPr>
            </w:pPr>
            <w:r>
              <w:rPr>
                <w:rFonts w:ascii="Calibri" w:hAnsi="Calibri" w:cs="Calibri"/>
                <w:color w:val="000000"/>
              </w:rPr>
              <w:t>$162,239,531</w:t>
            </w:r>
          </w:p>
        </w:tc>
        <w:tc>
          <w:tcPr>
            <w:tcW w:w="1755" w:type="dxa"/>
            <w:shd w:val="clear" w:color="auto" w:fill="auto"/>
            <w:tcMar>
              <w:top w:w="100" w:type="dxa"/>
              <w:left w:w="100" w:type="dxa"/>
              <w:bottom w:w="100" w:type="dxa"/>
              <w:right w:w="100" w:type="dxa"/>
            </w:tcMar>
          </w:tcPr>
          <w:p w14:paraId="36A17237" w14:textId="716A215E" w:rsidR="00414728" w:rsidRPr="000609DC" w:rsidRDefault="000609DC" w:rsidP="000609DC">
            <w:pPr>
              <w:jc w:val="right"/>
              <w:rPr>
                <w:rFonts w:ascii="Calibri" w:hAnsi="Calibri" w:cs="Calibri"/>
                <w:color w:val="000000"/>
              </w:rPr>
            </w:pPr>
            <w:r>
              <w:rPr>
                <w:rFonts w:ascii="Calibri" w:hAnsi="Calibri" w:cs="Calibri"/>
                <w:color w:val="000000"/>
              </w:rPr>
              <w:t>$51,372,322</w:t>
            </w:r>
          </w:p>
        </w:tc>
        <w:tc>
          <w:tcPr>
            <w:tcW w:w="1710" w:type="dxa"/>
            <w:shd w:val="clear" w:color="auto" w:fill="auto"/>
            <w:tcMar>
              <w:top w:w="100" w:type="dxa"/>
              <w:left w:w="100" w:type="dxa"/>
              <w:bottom w:w="100" w:type="dxa"/>
              <w:right w:w="100" w:type="dxa"/>
            </w:tcMar>
          </w:tcPr>
          <w:p w14:paraId="6AA784E4" w14:textId="0F8F18E6" w:rsidR="00414728" w:rsidRPr="000609DC" w:rsidRDefault="000609DC" w:rsidP="000609DC">
            <w:pPr>
              <w:jc w:val="right"/>
              <w:rPr>
                <w:rFonts w:ascii="Calibri" w:hAnsi="Calibri" w:cs="Calibri"/>
                <w:color w:val="000000"/>
              </w:rPr>
            </w:pPr>
            <w:r>
              <w:rPr>
                <w:rFonts w:ascii="Calibri" w:hAnsi="Calibri" w:cs="Calibri"/>
                <w:color w:val="000000"/>
              </w:rPr>
              <w:t>$190,572</w:t>
            </w:r>
          </w:p>
        </w:tc>
        <w:tc>
          <w:tcPr>
            <w:tcW w:w="1905" w:type="dxa"/>
            <w:shd w:val="clear" w:color="auto" w:fill="auto"/>
            <w:tcMar>
              <w:top w:w="100" w:type="dxa"/>
              <w:left w:w="100" w:type="dxa"/>
              <w:bottom w:w="100" w:type="dxa"/>
              <w:right w:w="100" w:type="dxa"/>
            </w:tcMar>
          </w:tcPr>
          <w:p w14:paraId="37A201A9" w14:textId="7FBAEBDE" w:rsidR="00414728" w:rsidRPr="000609DC" w:rsidRDefault="000609DC" w:rsidP="000609DC">
            <w:pPr>
              <w:jc w:val="right"/>
              <w:rPr>
                <w:rFonts w:ascii="Calibri" w:hAnsi="Calibri" w:cs="Calibri"/>
                <w:b/>
                <w:bCs/>
                <w:color w:val="000000"/>
              </w:rPr>
            </w:pPr>
            <w:r w:rsidRPr="000609DC">
              <w:rPr>
                <w:rFonts w:ascii="Calibri" w:hAnsi="Calibri" w:cs="Calibri"/>
                <w:b/>
                <w:bCs/>
                <w:color w:val="000000"/>
              </w:rPr>
              <w:t>$213,802,426</w:t>
            </w:r>
          </w:p>
        </w:tc>
      </w:tr>
    </w:tbl>
    <w:p w14:paraId="282DAD04" w14:textId="77777777" w:rsidR="0074760C" w:rsidRDefault="0074760C">
      <w:pPr>
        <w:spacing w:line="240" w:lineRule="auto"/>
        <w:rPr>
          <w:b/>
          <w:sz w:val="26"/>
          <w:szCs w:val="26"/>
        </w:rPr>
      </w:pPr>
    </w:p>
    <w:p w14:paraId="7B534745" w14:textId="77777777" w:rsidR="0074760C" w:rsidRDefault="0074760C">
      <w:pPr>
        <w:spacing w:line="240" w:lineRule="auto"/>
        <w:rPr>
          <w:b/>
          <w:sz w:val="26"/>
          <w:szCs w:val="26"/>
        </w:rPr>
      </w:pPr>
    </w:p>
    <w:p w14:paraId="44E21395" w14:textId="448247FA" w:rsidR="0074760C" w:rsidRDefault="0045718A">
      <w:pPr>
        <w:spacing w:line="240" w:lineRule="auto"/>
        <w:rPr>
          <w:sz w:val="26"/>
          <w:szCs w:val="26"/>
        </w:rPr>
      </w:pPr>
      <w:r>
        <w:rPr>
          <w:b/>
          <w:sz w:val="26"/>
          <w:szCs w:val="26"/>
        </w:rPr>
        <w:t xml:space="preserve">FY </w:t>
      </w:r>
      <w:r w:rsidR="005813DE">
        <w:rPr>
          <w:b/>
          <w:sz w:val="26"/>
          <w:szCs w:val="26"/>
        </w:rPr>
        <w:t>20</w:t>
      </w:r>
      <w:r w:rsidR="00414728">
        <w:rPr>
          <w:b/>
          <w:sz w:val="26"/>
          <w:szCs w:val="26"/>
        </w:rPr>
        <w:t>2</w:t>
      </w:r>
      <w:r w:rsidR="002446F3">
        <w:rPr>
          <w:b/>
          <w:sz w:val="26"/>
          <w:szCs w:val="26"/>
        </w:rPr>
        <w:t>1</w:t>
      </w:r>
      <w:r w:rsidR="005813DE">
        <w:rPr>
          <w:b/>
          <w:sz w:val="26"/>
          <w:szCs w:val="26"/>
        </w:rPr>
        <w:t xml:space="preserve"> </w:t>
      </w:r>
      <w:r>
        <w:rPr>
          <w:b/>
          <w:sz w:val="26"/>
          <w:szCs w:val="26"/>
        </w:rPr>
        <w:t xml:space="preserve">- </w:t>
      </w:r>
      <w:r w:rsidR="002446F3">
        <w:rPr>
          <w:b/>
          <w:sz w:val="26"/>
          <w:szCs w:val="26"/>
        </w:rPr>
        <w:t>2022</w:t>
      </w:r>
      <w:r w:rsidR="005813DE">
        <w:rPr>
          <w:b/>
          <w:sz w:val="26"/>
          <w:szCs w:val="26"/>
        </w:rPr>
        <w:t xml:space="preserve"> </w:t>
      </w:r>
      <w:r>
        <w:rPr>
          <w:b/>
          <w:sz w:val="26"/>
          <w:szCs w:val="26"/>
        </w:rPr>
        <w:t>Comparison for CFO Act Agencies (</w:t>
      </w:r>
      <w:r w:rsidR="00DF146C">
        <w:rPr>
          <w:b/>
          <w:sz w:val="26"/>
          <w:szCs w:val="26"/>
        </w:rPr>
        <w:t>in</w:t>
      </w:r>
      <w:r>
        <w:rPr>
          <w:b/>
          <w:sz w:val="26"/>
          <w:szCs w:val="26"/>
        </w:rPr>
        <w:t>cludes DoD data)</w:t>
      </w:r>
    </w:p>
    <w:p w14:paraId="30161C2A" w14:textId="77777777" w:rsidR="0074760C" w:rsidRDefault="0074760C">
      <w:pPr>
        <w:spacing w:line="240" w:lineRule="auto"/>
        <w:rPr>
          <w:sz w:val="24"/>
          <w:szCs w:val="24"/>
        </w:rPr>
      </w:pPr>
    </w:p>
    <w:p w14:paraId="5B433359" w14:textId="0B9DC219" w:rsidR="0074760C" w:rsidRPr="00591758" w:rsidRDefault="0045718A">
      <w:pPr>
        <w:numPr>
          <w:ilvl w:val="0"/>
          <w:numId w:val="6"/>
        </w:numPr>
        <w:spacing w:line="240" w:lineRule="auto"/>
        <w:rPr>
          <w:sz w:val="24"/>
          <w:szCs w:val="24"/>
        </w:rPr>
      </w:pPr>
      <w:r>
        <w:rPr>
          <w:sz w:val="24"/>
          <w:szCs w:val="24"/>
        </w:rPr>
        <w:t xml:space="preserve">The total number of buildings </w:t>
      </w:r>
      <w:r w:rsidRPr="00591758">
        <w:rPr>
          <w:sz w:val="24"/>
          <w:szCs w:val="24"/>
        </w:rPr>
        <w:t xml:space="preserve">decreased by </w:t>
      </w:r>
      <w:r w:rsidR="00414728" w:rsidRPr="00591758">
        <w:rPr>
          <w:sz w:val="24"/>
          <w:szCs w:val="24"/>
        </w:rPr>
        <w:t>1.</w:t>
      </w:r>
      <w:r w:rsidR="00591758" w:rsidRPr="00591758">
        <w:rPr>
          <w:sz w:val="24"/>
          <w:szCs w:val="24"/>
        </w:rPr>
        <w:t>38</w:t>
      </w:r>
      <w:r w:rsidRPr="00591758">
        <w:rPr>
          <w:sz w:val="24"/>
          <w:szCs w:val="24"/>
        </w:rPr>
        <w:t>%</w:t>
      </w:r>
    </w:p>
    <w:p w14:paraId="3C15D119" w14:textId="36DCB316" w:rsidR="0074760C" w:rsidRPr="00591758" w:rsidRDefault="0045718A" w:rsidP="00591758">
      <w:pPr>
        <w:pStyle w:val="ListParagraph"/>
        <w:numPr>
          <w:ilvl w:val="0"/>
          <w:numId w:val="6"/>
        </w:numPr>
        <w:spacing w:line="240" w:lineRule="auto"/>
        <w:rPr>
          <w:sz w:val="24"/>
          <w:szCs w:val="24"/>
        </w:rPr>
      </w:pPr>
      <w:r w:rsidRPr="00591758">
        <w:rPr>
          <w:sz w:val="24"/>
          <w:szCs w:val="24"/>
        </w:rPr>
        <w:t xml:space="preserve">The total building square footage </w:t>
      </w:r>
      <w:r w:rsidR="00132714" w:rsidRPr="00591758">
        <w:rPr>
          <w:sz w:val="24"/>
          <w:szCs w:val="24"/>
        </w:rPr>
        <w:t>de</w:t>
      </w:r>
      <w:r w:rsidRPr="00591758">
        <w:rPr>
          <w:sz w:val="24"/>
          <w:szCs w:val="24"/>
        </w:rPr>
        <w:t>creased by 0.</w:t>
      </w:r>
      <w:r w:rsidR="00591758" w:rsidRPr="00591758">
        <w:rPr>
          <w:sz w:val="24"/>
          <w:szCs w:val="24"/>
        </w:rPr>
        <w:t>4</w:t>
      </w:r>
      <w:r w:rsidR="00132714" w:rsidRPr="00591758">
        <w:rPr>
          <w:sz w:val="24"/>
          <w:szCs w:val="24"/>
        </w:rPr>
        <w:t>8</w:t>
      </w:r>
      <w:r w:rsidRPr="00591758">
        <w:rPr>
          <w:sz w:val="24"/>
          <w:szCs w:val="24"/>
        </w:rPr>
        <w:t>%</w:t>
      </w:r>
    </w:p>
    <w:p w14:paraId="2C0377E9" w14:textId="3E2ECFC7" w:rsidR="0074760C" w:rsidRPr="00E20FB0" w:rsidRDefault="0045718A">
      <w:pPr>
        <w:numPr>
          <w:ilvl w:val="1"/>
          <w:numId w:val="6"/>
        </w:numPr>
        <w:spacing w:line="240" w:lineRule="auto"/>
        <w:rPr>
          <w:sz w:val="24"/>
          <w:szCs w:val="24"/>
        </w:rPr>
      </w:pPr>
      <w:r>
        <w:rPr>
          <w:sz w:val="24"/>
          <w:szCs w:val="24"/>
        </w:rPr>
        <w:t xml:space="preserve">Office square footage </w:t>
      </w:r>
      <w:r w:rsidR="00132714" w:rsidRPr="00E20FB0">
        <w:rPr>
          <w:sz w:val="24"/>
          <w:szCs w:val="24"/>
        </w:rPr>
        <w:t>de</w:t>
      </w:r>
      <w:r w:rsidRPr="00E20FB0">
        <w:rPr>
          <w:sz w:val="24"/>
          <w:szCs w:val="24"/>
        </w:rPr>
        <w:t xml:space="preserve">creased by </w:t>
      </w:r>
      <w:r w:rsidR="00E20FB0" w:rsidRPr="00E20FB0">
        <w:rPr>
          <w:sz w:val="24"/>
          <w:szCs w:val="24"/>
        </w:rPr>
        <w:t>0.2</w:t>
      </w:r>
      <w:r w:rsidRPr="00E20FB0">
        <w:rPr>
          <w:sz w:val="24"/>
          <w:szCs w:val="24"/>
        </w:rPr>
        <w:t>.%</w:t>
      </w:r>
    </w:p>
    <w:p w14:paraId="1C1BF898" w14:textId="0CE1FB90" w:rsidR="0074760C" w:rsidRDefault="0045718A">
      <w:pPr>
        <w:numPr>
          <w:ilvl w:val="1"/>
          <w:numId w:val="6"/>
        </w:numPr>
        <w:spacing w:line="240" w:lineRule="auto"/>
        <w:rPr>
          <w:sz w:val="24"/>
          <w:szCs w:val="24"/>
        </w:rPr>
      </w:pPr>
      <w:r>
        <w:rPr>
          <w:sz w:val="24"/>
          <w:szCs w:val="24"/>
        </w:rPr>
        <w:t xml:space="preserve">Warehouse square footage </w:t>
      </w:r>
      <w:r w:rsidRPr="00E20FB0">
        <w:rPr>
          <w:sz w:val="24"/>
          <w:szCs w:val="24"/>
        </w:rPr>
        <w:t xml:space="preserve">decreased by </w:t>
      </w:r>
      <w:r w:rsidR="00E20FB0" w:rsidRPr="00E20FB0">
        <w:rPr>
          <w:sz w:val="24"/>
          <w:szCs w:val="24"/>
        </w:rPr>
        <w:t>0.4</w:t>
      </w:r>
      <w:r>
        <w:rPr>
          <w:sz w:val="24"/>
          <w:szCs w:val="24"/>
        </w:rPr>
        <w:t>%</w:t>
      </w:r>
    </w:p>
    <w:p w14:paraId="781C959D" w14:textId="5B2A8494" w:rsidR="0074760C" w:rsidRDefault="0045718A">
      <w:pPr>
        <w:numPr>
          <w:ilvl w:val="0"/>
          <w:numId w:val="6"/>
        </w:numPr>
        <w:spacing w:line="240" w:lineRule="auto"/>
        <w:rPr>
          <w:sz w:val="24"/>
          <w:szCs w:val="24"/>
        </w:rPr>
      </w:pPr>
      <w:r>
        <w:rPr>
          <w:sz w:val="24"/>
          <w:szCs w:val="24"/>
        </w:rPr>
        <w:t xml:space="preserve">The total number of structures </w:t>
      </w:r>
      <w:r w:rsidR="00E20FB0">
        <w:rPr>
          <w:sz w:val="24"/>
          <w:szCs w:val="24"/>
        </w:rPr>
        <w:t>increased by 3.9</w:t>
      </w:r>
      <w:r>
        <w:rPr>
          <w:sz w:val="24"/>
          <w:szCs w:val="24"/>
        </w:rPr>
        <w:t>%</w:t>
      </w:r>
    </w:p>
    <w:p w14:paraId="7BA4A34A" w14:textId="3DB26A35" w:rsidR="0074760C" w:rsidRDefault="0045718A">
      <w:pPr>
        <w:numPr>
          <w:ilvl w:val="0"/>
          <w:numId w:val="6"/>
        </w:numPr>
        <w:spacing w:line="240" w:lineRule="auto"/>
        <w:rPr>
          <w:sz w:val="24"/>
          <w:szCs w:val="24"/>
        </w:rPr>
      </w:pPr>
      <w:r>
        <w:rPr>
          <w:sz w:val="24"/>
          <w:szCs w:val="24"/>
        </w:rPr>
        <w:t xml:space="preserve">The total acres of land </w:t>
      </w:r>
      <w:r w:rsidR="00E20FB0" w:rsidRPr="00E20FB0">
        <w:rPr>
          <w:sz w:val="24"/>
          <w:szCs w:val="24"/>
        </w:rPr>
        <w:t>in</w:t>
      </w:r>
      <w:r w:rsidRPr="00E20FB0">
        <w:rPr>
          <w:sz w:val="24"/>
          <w:szCs w:val="24"/>
        </w:rPr>
        <w:t xml:space="preserve">creased by </w:t>
      </w:r>
      <w:r w:rsidR="00E20FB0" w:rsidRPr="00E20FB0">
        <w:rPr>
          <w:sz w:val="24"/>
          <w:szCs w:val="24"/>
        </w:rPr>
        <w:t>less</w:t>
      </w:r>
      <w:r w:rsidR="00E20FB0">
        <w:rPr>
          <w:sz w:val="24"/>
          <w:szCs w:val="24"/>
        </w:rPr>
        <w:t xml:space="preserve"> than .01</w:t>
      </w:r>
      <w:r>
        <w:rPr>
          <w:sz w:val="24"/>
          <w:szCs w:val="24"/>
        </w:rPr>
        <w:t>%</w:t>
      </w:r>
    </w:p>
    <w:p w14:paraId="76194671" w14:textId="7AEAB1B3" w:rsidR="0074760C" w:rsidRPr="00CE1434" w:rsidRDefault="0045718A">
      <w:pPr>
        <w:numPr>
          <w:ilvl w:val="0"/>
          <w:numId w:val="6"/>
        </w:numPr>
        <w:spacing w:line="240" w:lineRule="auto"/>
        <w:rPr>
          <w:sz w:val="24"/>
          <w:szCs w:val="24"/>
        </w:rPr>
      </w:pPr>
      <w:r>
        <w:rPr>
          <w:sz w:val="24"/>
          <w:szCs w:val="24"/>
        </w:rPr>
        <w:t xml:space="preserve">The total costs for buildings, structures and land </w:t>
      </w:r>
      <w:r w:rsidR="00BA521A" w:rsidRPr="00BA521A">
        <w:rPr>
          <w:sz w:val="24"/>
          <w:szCs w:val="24"/>
        </w:rPr>
        <w:t>de</w:t>
      </w:r>
      <w:r w:rsidRPr="00BA521A">
        <w:rPr>
          <w:sz w:val="24"/>
          <w:szCs w:val="24"/>
        </w:rPr>
        <w:t xml:space="preserve">creased by </w:t>
      </w:r>
      <w:r w:rsidR="00BA521A" w:rsidRPr="00BA521A">
        <w:rPr>
          <w:sz w:val="24"/>
          <w:szCs w:val="24"/>
        </w:rPr>
        <w:t>5</w:t>
      </w:r>
      <w:r w:rsidR="00BA521A">
        <w:rPr>
          <w:sz w:val="24"/>
          <w:szCs w:val="24"/>
        </w:rPr>
        <w:t>.7</w:t>
      </w:r>
      <w:r w:rsidRPr="00CE1434">
        <w:rPr>
          <w:sz w:val="24"/>
          <w:szCs w:val="24"/>
        </w:rPr>
        <w:t>%</w:t>
      </w:r>
    </w:p>
    <w:p w14:paraId="42B040EE" w14:textId="77777777" w:rsidR="0074760C" w:rsidRDefault="0074760C">
      <w:pPr>
        <w:spacing w:line="240" w:lineRule="auto"/>
        <w:rPr>
          <w:sz w:val="26"/>
          <w:szCs w:val="26"/>
        </w:rPr>
      </w:pPr>
    </w:p>
    <w:p w14:paraId="7EB7C93E" w14:textId="39681E53" w:rsidR="0074760C" w:rsidRDefault="0045718A">
      <w:pPr>
        <w:spacing w:line="240" w:lineRule="auto"/>
        <w:rPr>
          <w:color w:val="222222"/>
          <w:sz w:val="26"/>
          <w:szCs w:val="26"/>
          <w:highlight w:val="white"/>
        </w:rPr>
      </w:pPr>
      <w:r>
        <w:rPr>
          <w:b/>
          <w:sz w:val="26"/>
          <w:szCs w:val="26"/>
        </w:rPr>
        <w:t>Disposal</w:t>
      </w:r>
      <w:r w:rsidR="00042674">
        <w:rPr>
          <w:b/>
          <w:sz w:val="26"/>
          <w:szCs w:val="26"/>
        </w:rPr>
        <w:t xml:space="preserve">s in FY </w:t>
      </w:r>
      <w:r w:rsidR="002446F3">
        <w:rPr>
          <w:b/>
          <w:sz w:val="26"/>
          <w:szCs w:val="26"/>
        </w:rPr>
        <w:t>2022</w:t>
      </w:r>
      <w:r w:rsidR="004F34AB">
        <w:rPr>
          <w:b/>
          <w:sz w:val="26"/>
          <w:szCs w:val="26"/>
        </w:rPr>
        <w:t xml:space="preserve"> (excludes DoD data)</w:t>
      </w:r>
    </w:p>
    <w:p w14:paraId="6BB0471B" w14:textId="77777777" w:rsidR="0074760C" w:rsidRDefault="0074760C">
      <w:pPr>
        <w:spacing w:line="240" w:lineRule="auto"/>
        <w:rPr>
          <w:color w:val="222222"/>
          <w:sz w:val="24"/>
          <w:szCs w:val="24"/>
          <w:highlight w:val="white"/>
        </w:rPr>
      </w:pPr>
    </w:p>
    <w:p w14:paraId="2243E690" w14:textId="1E1821A4" w:rsidR="0074760C" w:rsidRPr="00864E60" w:rsidRDefault="0045718A" w:rsidP="00864E60">
      <w:pPr>
        <w:pStyle w:val="ListParagraph"/>
        <w:numPr>
          <w:ilvl w:val="0"/>
          <w:numId w:val="7"/>
        </w:numPr>
        <w:spacing w:line="240" w:lineRule="auto"/>
        <w:rPr>
          <w:color w:val="222222"/>
          <w:sz w:val="24"/>
          <w:szCs w:val="24"/>
          <w:highlight w:val="white"/>
        </w:rPr>
      </w:pPr>
      <w:r w:rsidRPr="00864E60">
        <w:rPr>
          <w:color w:val="222222"/>
          <w:sz w:val="24"/>
          <w:szCs w:val="24"/>
          <w:highlight w:val="white"/>
        </w:rPr>
        <w:t xml:space="preserve">Civilian CFO Act agencies disposed of </w:t>
      </w:r>
      <w:r w:rsidR="00BA521A" w:rsidRPr="00864E60">
        <w:rPr>
          <w:color w:val="222222"/>
          <w:sz w:val="24"/>
          <w:szCs w:val="24"/>
        </w:rPr>
        <w:t>1,136</w:t>
      </w:r>
      <w:r w:rsidR="0048258F" w:rsidRPr="00864E60">
        <w:rPr>
          <w:color w:val="222222"/>
          <w:sz w:val="24"/>
          <w:szCs w:val="24"/>
        </w:rPr>
        <w:t xml:space="preserve"> </w:t>
      </w:r>
      <w:r w:rsidRPr="00864E60">
        <w:rPr>
          <w:color w:val="222222"/>
          <w:sz w:val="24"/>
          <w:szCs w:val="24"/>
          <w:highlight w:val="white"/>
        </w:rPr>
        <w:t>owned and otherwise managed buildings</w:t>
      </w:r>
      <w:r w:rsidR="00D6180F">
        <w:rPr>
          <w:color w:val="222222"/>
          <w:sz w:val="24"/>
          <w:szCs w:val="24"/>
          <w:highlight w:val="white"/>
        </w:rPr>
        <w:t>; DoD disposed of 893</w:t>
      </w:r>
      <w:r w:rsidRPr="00864E60">
        <w:rPr>
          <w:color w:val="222222"/>
          <w:sz w:val="24"/>
          <w:szCs w:val="24"/>
          <w:highlight w:val="white"/>
        </w:rPr>
        <w:t xml:space="preserve"> </w:t>
      </w:r>
      <w:r w:rsidR="00D6180F" w:rsidRPr="00864E60">
        <w:rPr>
          <w:color w:val="222222"/>
          <w:sz w:val="24"/>
          <w:szCs w:val="24"/>
          <w:highlight w:val="white"/>
        </w:rPr>
        <w:t>owned and otherwise managed buildings</w:t>
      </w:r>
      <w:r w:rsidR="00D6180F">
        <w:rPr>
          <w:color w:val="222222"/>
          <w:sz w:val="24"/>
          <w:szCs w:val="24"/>
          <w:highlight w:val="white"/>
        </w:rPr>
        <w:t>,</w:t>
      </w:r>
      <w:r w:rsidR="00D6180F" w:rsidRPr="00864E60">
        <w:rPr>
          <w:color w:val="222222"/>
          <w:sz w:val="24"/>
          <w:szCs w:val="24"/>
          <w:highlight w:val="white"/>
        </w:rPr>
        <w:t xml:space="preserve"> </w:t>
      </w:r>
      <w:r w:rsidRPr="00864E60">
        <w:rPr>
          <w:color w:val="222222"/>
          <w:sz w:val="24"/>
          <w:szCs w:val="24"/>
          <w:highlight w:val="white"/>
        </w:rPr>
        <w:t>resulting in:</w:t>
      </w:r>
    </w:p>
    <w:p w14:paraId="21F0F2CA" w14:textId="5AF7FF57" w:rsidR="0074760C" w:rsidRDefault="0045718A">
      <w:pPr>
        <w:numPr>
          <w:ilvl w:val="1"/>
          <w:numId w:val="3"/>
        </w:numPr>
        <w:spacing w:line="240" w:lineRule="auto"/>
        <w:rPr>
          <w:color w:val="222222"/>
          <w:sz w:val="24"/>
          <w:szCs w:val="24"/>
          <w:highlight w:val="white"/>
        </w:rPr>
      </w:pPr>
      <w:r>
        <w:rPr>
          <w:color w:val="222222"/>
          <w:sz w:val="24"/>
          <w:szCs w:val="24"/>
          <w:highlight w:val="white"/>
        </w:rPr>
        <w:t>$</w:t>
      </w:r>
      <w:r w:rsidR="00D6180F">
        <w:rPr>
          <w:color w:val="222222"/>
          <w:sz w:val="24"/>
          <w:szCs w:val="24"/>
        </w:rPr>
        <w:t xml:space="preserve">36 </w:t>
      </w:r>
      <w:r>
        <w:rPr>
          <w:color w:val="222222"/>
          <w:sz w:val="24"/>
          <w:szCs w:val="24"/>
        </w:rPr>
        <w:t xml:space="preserve">million in net proceeds </w:t>
      </w:r>
      <w:r>
        <w:rPr>
          <w:color w:val="222222"/>
          <w:sz w:val="24"/>
          <w:szCs w:val="24"/>
          <w:highlight w:val="white"/>
        </w:rPr>
        <w:t>from sales</w:t>
      </w:r>
    </w:p>
    <w:p w14:paraId="339EE602" w14:textId="5D4578C8" w:rsidR="0074760C" w:rsidRDefault="0045718A">
      <w:pPr>
        <w:numPr>
          <w:ilvl w:val="1"/>
          <w:numId w:val="3"/>
        </w:numPr>
        <w:spacing w:line="240" w:lineRule="auto"/>
        <w:rPr>
          <w:color w:val="222222"/>
          <w:sz w:val="24"/>
          <w:szCs w:val="24"/>
          <w:highlight w:val="white"/>
        </w:rPr>
      </w:pPr>
      <w:r w:rsidRPr="00AF732B">
        <w:rPr>
          <w:color w:val="222222"/>
          <w:sz w:val="24"/>
          <w:szCs w:val="24"/>
        </w:rPr>
        <w:t>$</w:t>
      </w:r>
      <w:r w:rsidR="00BA521A">
        <w:rPr>
          <w:color w:val="222222"/>
          <w:sz w:val="24"/>
          <w:szCs w:val="24"/>
        </w:rPr>
        <w:t>2</w:t>
      </w:r>
      <w:r w:rsidR="00D6180F">
        <w:rPr>
          <w:color w:val="222222"/>
          <w:sz w:val="24"/>
          <w:szCs w:val="24"/>
        </w:rPr>
        <w:t>2.2</w:t>
      </w:r>
      <w:r w:rsidRPr="00AF732B">
        <w:rPr>
          <w:color w:val="222222"/>
          <w:sz w:val="24"/>
          <w:szCs w:val="24"/>
        </w:rPr>
        <w:t xml:space="preserve"> </w:t>
      </w:r>
      <w:r>
        <w:rPr>
          <w:color w:val="222222"/>
          <w:sz w:val="24"/>
          <w:szCs w:val="24"/>
          <w:highlight w:val="white"/>
        </w:rPr>
        <w:t xml:space="preserve">million </w:t>
      </w:r>
      <w:r w:rsidR="006460BD">
        <w:rPr>
          <w:color w:val="222222"/>
          <w:sz w:val="24"/>
          <w:szCs w:val="24"/>
          <w:highlight w:val="white"/>
        </w:rPr>
        <w:t xml:space="preserve">in </w:t>
      </w:r>
      <w:r>
        <w:rPr>
          <w:color w:val="222222"/>
          <w:sz w:val="24"/>
          <w:szCs w:val="24"/>
          <w:highlight w:val="white"/>
        </w:rPr>
        <w:t>future cost avoidance from owned operating and maintenance costs</w:t>
      </w:r>
    </w:p>
    <w:p w14:paraId="71EA9E29" w14:textId="77777777" w:rsidR="0074760C" w:rsidRDefault="0074760C">
      <w:pPr>
        <w:spacing w:line="240" w:lineRule="auto"/>
        <w:rPr>
          <w:color w:val="222222"/>
          <w:sz w:val="24"/>
          <w:szCs w:val="24"/>
          <w:highlight w:val="white"/>
        </w:rPr>
      </w:pPr>
    </w:p>
    <w:p w14:paraId="4F5CB27D" w14:textId="1ECF40E9" w:rsidR="0074760C" w:rsidRPr="00864E60" w:rsidRDefault="0045718A" w:rsidP="004369F8">
      <w:pPr>
        <w:numPr>
          <w:ilvl w:val="0"/>
          <w:numId w:val="1"/>
        </w:numPr>
        <w:spacing w:line="240" w:lineRule="auto"/>
        <w:rPr>
          <w:color w:val="222222"/>
          <w:sz w:val="24"/>
          <w:szCs w:val="24"/>
          <w:highlight w:val="white"/>
        </w:rPr>
      </w:pPr>
      <w:r w:rsidRPr="00864E60">
        <w:rPr>
          <w:color w:val="222222"/>
          <w:sz w:val="24"/>
          <w:szCs w:val="24"/>
          <w:highlight w:val="white"/>
        </w:rPr>
        <w:t xml:space="preserve">Civilian CFO Act agencies disposed </w:t>
      </w:r>
      <w:r w:rsidR="006460BD" w:rsidRPr="00864E60">
        <w:rPr>
          <w:color w:val="222222"/>
          <w:sz w:val="24"/>
          <w:szCs w:val="24"/>
        </w:rPr>
        <w:t xml:space="preserve">of </w:t>
      </w:r>
      <w:r w:rsidR="00864E60" w:rsidRPr="00864E60">
        <w:rPr>
          <w:color w:val="222222"/>
          <w:sz w:val="24"/>
          <w:szCs w:val="24"/>
        </w:rPr>
        <w:t>6,543</w:t>
      </w:r>
      <w:r w:rsidRPr="00864E60">
        <w:rPr>
          <w:color w:val="222222"/>
          <w:sz w:val="24"/>
          <w:szCs w:val="24"/>
        </w:rPr>
        <w:t xml:space="preserve"> </w:t>
      </w:r>
      <w:r w:rsidRPr="00864E60">
        <w:rPr>
          <w:color w:val="222222"/>
          <w:sz w:val="24"/>
          <w:szCs w:val="24"/>
          <w:highlight w:val="white"/>
        </w:rPr>
        <w:t>owned and otherwise managed structures</w:t>
      </w:r>
      <w:r w:rsidR="00D6180F">
        <w:rPr>
          <w:color w:val="222222"/>
          <w:sz w:val="24"/>
          <w:szCs w:val="24"/>
          <w:highlight w:val="white"/>
        </w:rPr>
        <w:t xml:space="preserve">; </w:t>
      </w:r>
      <w:r w:rsidR="00864E60">
        <w:rPr>
          <w:color w:val="222222"/>
          <w:sz w:val="24"/>
          <w:szCs w:val="24"/>
          <w:highlight w:val="white"/>
        </w:rPr>
        <w:t xml:space="preserve"> </w:t>
      </w:r>
      <w:r w:rsidR="00D6180F">
        <w:rPr>
          <w:color w:val="222222"/>
          <w:sz w:val="24"/>
          <w:szCs w:val="24"/>
          <w:highlight w:val="white"/>
        </w:rPr>
        <w:t xml:space="preserve">DoD disposed of </w:t>
      </w:r>
      <w:r w:rsidR="00D6180F">
        <w:rPr>
          <w:color w:val="222222"/>
          <w:sz w:val="24"/>
          <w:szCs w:val="24"/>
          <w:highlight w:val="white"/>
        </w:rPr>
        <w:t>3,361</w:t>
      </w:r>
      <w:r w:rsidR="00D6180F" w:rsidRPr="00864E60">
        <w:rPr>
          <w:color w:val="222222"/>
          <w:sz w:val="24"/>
          <w:szCs w:val="24"/>
          <w:highlight w:val="white"/>
        </w:rPr>
        <w:t xml:space="preserve">owned and otherwise managed </w:t>
      </w:r>
      <w:r w:rsidR="00D6180F">
        <w:rPr>
          <w:color w:val="222222"/>
          <w:sz w:val="24"/>
          <w:szCs w:val="24"/>
          <w:highlight w:val="white"/>
        </w:rPr>
        <w:t xml:space="preserve">structures, </w:t>
      </w:r>
      <w:r w:rsidRPr="00864E60">
        <w:rPr>
          <w:color w:val="222222"/>
          <w:sz w:val="24"/>
          <w:szCs w:val="24"/>
          <w:highlight w:val="white"/>
        </w:rPr>
        <w:t>resulting in:</w:t>
      </w:r>
    </w:p>
    <w:p w14:paraId="32383DAD" w14:textId="0CD1BD1E" w:rsidR="0074760C" w:rsidRDefault="0045718A">
      <w:pPr>
        <w:numPr>
          <w:ilvl w:val="1"/>
          <w:numId w:val="1"/>
        </w:numPr>
        <w:spacing w:line="240" w:lineRule="auto"/>
        <w:rPr>
          <w:color w:val="222222"/>
          <w:sz w:val="24"/>
          <w:szCs w:val="24"/>
          <w:highlight w:val="white"/>
        </w:rPr>
      </w:pPr>
      <w:r>
        <w:rPr>
          <w:color w:val="222222"/>
          <w:sz w:val="24"/>
          <w:szCs w:val="24"/>
          <w:highlight w:val="white"/>
        </w:rPr>
        <w:t>$</w:t>
      </w:r>
      <w:r w:rsidR="00D6180F">
        <w:rPr>
          <w:color w:val="222222"/>
          <w:sz w:val="24"/>
          <w:szCs w:val="24"/>
        </w:rPr>
        <w:t>5</w:t>
      </w:r>
      <w:r w:rsidR="00864E60">
        <w:rPr>
          <w:color w:val="222222"/>
          <w:sz w:val="24"/>
          <w:szCs w:val="24"/>
        </w:rPr>
        <w:t>.9 million</w:t>
      </w:r>
      <w:r>
        <w:rPr>
          <w:color w:val="222222"/>
          <w:sz w:val="24"/>
          <w:szCs w:val="24"/>
        </w:rPr>
        <w:t xml:space="preserve"> in net proceeds from sales</w:t>
      </w:r>
    </w:p>
    <w:p w14:paraId="32A2EEA4" w14:textId="190CE0C8" w:rsidR="0074760C" w:rsidRDefault="0045718A">
      <w:pPr>
        <w:numPr>
          <w:ilvl w:val="1"/>
          <w:numId w:val="1"/>
        </w:numPr>
        <w:spacing w:line="240" w:lineRule="auto"/>
        <w:rPr>
          <w:color w:val="222222"/>
          <w:sz w:val="24"/>
          <w:szCs w:val="24"/>
          <w:highlight w:val="white"/>
        </w:rPr>
      </w:pPr>
      <w:r w:rsidRPr="006460BD">
        <w:rPr>
          <w:color w:val="222222"/>
          <w:sz w:val="24"/>
          <w:szCs w:val="24"/>
        </w:rPr>
        <w:t>$</w:t>
      </w:r>
      <w:r w:rsidR="00864E60">
        <w:rPr>
          <w:color w:val="222222"/>
          <w:sz w:val="24"/>
          <w:szCs w:val="24"/>
        </w:rPr>
        <w:t>9.</w:t>
      </w:r>
      <w:r w:rsidR="00D6180F">
        <w:rPr>
          <w:color w:val="222222"/>
          <w:sz w:val="24"/>
          <w:szCs w:val="24"/>
        </w:rPr>
        <w:t>23</w:t>
      </w:r>
      <w:r w:rsidRPr="006460BD">
        <w:rPr>
          <w:color w:val="222222"/>
          <w:sz w:val="24"/>
          <w:szCs w:val="24"/>
        </w:rPr>
        <w:t xml:space="preserve"> million </w:t>
      </w:r>
      <w:r w:rsidR="006460BD" w:rsidRPr="006460BD">
        <w:rPr>
          <w:color w:val="222222"/>
          <w:sz w:val="24"/>
          <w:szCs w:val="24"/>
        </w:rPr>
        <w:t xml:space="preserve">in </w:t>
      </w:r>
      <w:r w:rsidRPr="006460BD">
        <w:rPr>
          <w:color w:val="222222"/>
          <w:sz w:val="24"/>
          <w:szCs w:val="24"/>
        </w:rPr>
        <w:t>future cost avoidan</w:t>
      </w:r>
      <w:r w:rsidRPr="00AF732B">
        <w:rPr>
          <w:color w:val="222222"/>
          <w:sz w:val="24"/>
          <w:szCs w:val="24"/>
        </w:rPr>
        <w:t>ce from owned annual operating and m</w:t>
      </w:r>
      <w:r>
        <w:rPr>
          <w:color w:val="222222"/>
          <w:sz w:val="24"/>
          <w:szCs w:val="24"/>
          <w:highlight w:val="white"/>
        </w:rPr>
        <w:t>aintenance costs</w:t>
      </w:r>
    </w:p>
    <w:p w14:paraId="2FA9C66C" w14:textId="77777777" w:rsidR="0074760C" w:rsidRDefault="0074760C">
      <w:pPr>
        <w:spacing w:line="240" w:lineRule="auto"/>
        <w:rPr>
          <w:color w:val="222222"/>
          <w:sz w:val="24"/>
          <w:szCs w:val="24"/>
          <w:highlight w:val="white"/>
        </w:rPr>
      </w:pPr>
    </w:p>
    <w:p w14:paraId="1F2DE398" w14:textId="77DD608E" w:rsidR="0074760C" w:rsidRDefault="0045718A">
      <w:pPr>
        <w:numPr>
          <w:ilvl w:val="0"/>
          <w:numId w:val="5"/>
        </w:numPr>
        <w:spacing w:line="240" w:lineRule="auto"/>
        <w:rPr>
          <w:color w:val="222222"/>
          <w:sz w:val="24"/>
          <w:szCs w:val="24"/>
          <w:highlight w:val="white"/>
        </w:rPr>
      </w:pPr>
      <w:r>
        <w:rPr>
          <w:color w:val="222222"/>
          <w:sz w:val="24"/>
          <w:szCs w:val="24"/>
          <w:highlight w:val="white"/>
        </w:rPr>
        <w:t xml:space="preserve">Civilian CFO Act agencies </w:t>
      </w:r>
      <w:r w:rsidR="00D6180F">
        <w:rPr>
          <w:color w:val="222222"/>
          <w:sz w:val="24"/>
          <w:szCs w:val="24"/>
          <w:highlight w:val="white"/>
        </w:rPr>
        <w:t xml:space="preserve">and DoD </w:t>
      </w:r>
      <w:r>
        <w:rPr>
          <w:color w:val="222222"/>
          <w:sz w:val="24"/>
          <w:szCs w:val="24"/>
          <w:highlight w:val="white"/>
        </w:rPr>
        <w:t xml:space="preserve">disposed of </w:t>
      </w:r>
      <w:r w:rsidR="00D6180F">
        <w:rPr>
          <w:color w:val="222222"/>
          <w:sz w:val="24"/>
          <w:szCs w:val="24"/>
        </w:rPr>
        <w:t>8,100</w:t>
      </w:r>
      <w:r w:rsidRPr="00864E60">
        <w:rPr>
          <w:color w:val="222222"/>
          <w:sz w:val="24"/>
          <w:szCs w:val="24"/>
        </w:rPr>
        <w:t xml:space="preserve"> </w:t>
      </w:r>
      <w:r>
        <w:rPr>
          <w:color w:val="222222"/>
          <w:sz w:val="24"/>
          <w:szCs w:val="24"/>
          <w:highlight w:val="white"/>
        </w:rPr>
        <w:t>owned and otherwise managed acres, resulting in:</w:t>
      </w:r>
    </w:p>
    <w:p w14:paraId="3E810733" w14:textId="7B7917D4" w:rsidR="0074760C" w:rsidRDefault="0045718A">
      <w:pPr>
        <w:numPr>
          <w:ilvl w:val="1"/>
          <w:numId w:val="5"/>
        </w:numPr>
        <w:spacing w:line="240" w:lineRule="auto"/>
        <w:rPr>
          <w:color w:val="222222"/>
          <w:sz w:val="24"/>
          <w:szCs w:val="24"/>
          <w:highlight w:val="white"/>
        </w:rPr>
      </w:pPr>
      <w:r>
        <w:rPr>
          <w:color w:val="222222"/>
          <w:sz w:val="24"/>
          <w:szCs w:val="24"/>
        </w:rPr>
        <w:t>$</w:t>
      </w:r>
      <w:r w:rsidR="00864E60">
        <w:rPr>
          <w:color w:val="222222"/>
          <w:sz w:val="24"/>
          <w:szCs w:val="24"/>
        </w:rPr>
        <w:t>3</w:t>
      </w:r>
      <w:r w:rsidR="004A0D1B">
        <w:rPr>
          <w:color w:val="222222"/>
          <w:sz w:val="24"/>
          <w:szCs w:val="24"/>
        </w:rPr>
        <w:t>7.1</w:t>
      </w:r>
      <w:r w:rsidR="006460BD">
        <w:rPr>
          <w:color w:val="222222"/>
          <w:sz w:val="24"/>
          <w:szCs w:val="24"/>
        </w:rPr>
        <w:t xml:space="preserve"> </w:t>
      </w:r>
      <w:r>
        <w:rPr>
          <w:color w:val="222222"/>
          <w:sz w:val="24"/>
          <w:szCs w:val="24"/>
        </w:rPr>
        <w:t>million in net proceeds from sa</w:t>
      </w:r>
      <w:r>
        <w:rPr>
          <w:color w:val="222222"/>
          <w:sz w:val="24"/>
          <w:szCs w:val="24"/>
          <w:highlight w:val="white"/>
        </w:rPr>
        <w:t>les</w:t>
      </w:r>
    </w:p>
    <w:p w14:paraId="76FE0637" w14:textId="6051D3F3" w:rsidR="0074760C" w:rsidRDefault="0045718A">
      <w:pPr>
        <w:numPr>
          <w:ilvl w:val="1"/>
          <w:numId w:val="5"/>
        </w:numPr>
        <w:spacing w:line="240" w:lineRule="auto"/>
        <w:rPr>
          <w:color w:val="222222"/>
          <w:sz w:val="24"/>
          <w:szCs w:val="24"/>
          <w:highlight w:val="white"/>
        </w:rPr>
      </w:pPr>
      <w:r w:rsidRPr="006460BD">
        <w:rPr>
          <w:color w:val="222222"/>
          <w:sz w:val="24"/>
          <w:szCs w:val="24"/>
        </w:rPr>
        <w:t>$</w:t>
      </w:r>
      <w:r w:rsidR="00864E60">
        <w:rPr>
          <w:color w:val="222222"/>
          <w:sz w:val="24"/>
          <w:szCs w:val="24"/>
        </w:rPr>
        <w:t>1.8 million</w:t>
      </w:r>
      <w:r w:rsidR="006460BD" w:rsidRPr="006460BD">
        <w:rPr>
          <w:color w:val="222222"/>
          <w:sz w:val="24"/>
          <w:szCs w:val="24"/>
        </w:rPr>
        <w:t xml:space="preserve"> in</w:t>
      </w:r>
      <w:r w:rsidRPr="006460BD">
        <w:rPr>
          <w:color w:val="222222"/>
          <w:sz w:val="24"/>
          <w:szCs w:val="24"/>
        </w:rPr>
        <w:t xml:space="preserve"> future </w:t>
      </w:r>
      <w:r>
        <w:rPr>
          <w:color w:val="222222"/>
          <w:sz w:val="24"/>
          <w:szCs w:val="24"/>
          <w:highlight w:val="white"/>
        </w:rPr>
        <w:t>cost avoidance from owned operating and maintenance costs</w:t>
      </w:r>
    </w:p>
    <w:sectPr w:rsidR="0074760C">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8AEF4" w14:textId="77777777" w:rsidR="00557C0C" w:rsidRDefault="0045718A">
      <w:pPr>
        <w:spacing w:line="240" w:lineRule="auto"/>
      </w:pPr>
      <w:r>
        <w:separator/>
      </w:r>
    </w:p>
  </w:endnote>
  <w:endnote w:type="continuationSeparator" w:id="0">
    <w:p w14:paraId="6E18956B" w14:textId="77777777" w:rsidR="00557C0C" w:rsidRDefault="00457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7241" w14:textId="77777777" w:rsidR="00557C0C" w:rsidRDefault="0045718A">
      <w:pPr>
        <w:spacing w:line="240" w:lineRule="auto"/>
      </w:pPr>
      <w:r>
        <w:separator/>
      </w:r>
    </w:p>
  </w:footnote>
  <w:footnote w:type="continuationSeparator" w:id="0">
    <w:p w14:paraId="3669B1EC" w14:textId="77777777" w:rsidR="00557C0C" w:rsidRDefault="0045718A">
      <w:pPr>
        <w:spacing w:line="240" w:lineRule="auto"/>
      </w:pPr>
      <w:r>
        <w:continuationSeparator/>
      </w:r>
    </w:p>
  </w:footnote>
  <w:footnote w:id="1">
    <w:p w14:paraId="62FBE127" w14:textId="77777777" w:rsidR="0074760C" w:rsidRDefault="0045718A">
      <w:pPr>
        <w:spacing w:line="240" w:lineRule="auto"/>
        <w:rPr>
          <w:sz w:val="20"/>
          <w:szCs w:val="20"/>
        </w:rPr>
      </w:pPr>
      <w:r>
        <w:rPr>
          <w:vertAlign w:val="superscript"/>
        </w:rPr>
        <w:footnoteRef/>
      </w:r>
      <w:r>
        <w:rPr>
          <w:sz w:val="20"/>
          <w:szCs w:val="20"/>
        </w:rPr>
        <w:t xml:space="preserve"> Department of Defense includes the Departments of the Army, Air Force, and Navy, the Corps of Engineers, and Defense/WHS (Washington headquarters).</w:t>
      </w:r>
    </w:p>
  </w:footnote>
  <w:footnote w:id="2">
    <w:p w14:paraId="73F982C9" w14:textId="3AF07E07" w:rsidR="00414728" w:rsidRDefault="00414728" w:rsidP="00414728">
      <w:pPr>
        <w:spacing w:line="240" w:lineRule="auto"/>
        <w:rPr>
          <w:sz w:val="20"/>
          <w:szCs w:val="20"/>
        </w:rPr>
      </w:pPr>
      <w:r>
        <w:rPr>
          <w:vertAlign w:val="superscript"/>
        </w:rPr>
        <w:footnoteRef/>
      </w:r>
      <w:r>
        <w:rPr>
          <w:sz w:val="20"/>
          <w:szCs w:val="20"/>
        </w:rPr>
        <w:t xml:space="preserve"> Total Annual Costs for owned assets is the total of Operating costs and Maintenance costs; for leased assets, it is the total of Operating costs, Maintenance costs and 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95A7" w14:textId="77777777" w:rsidR="0074760C" w:rsidRDefault="007476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0378"/>
    <w:multiLevelType w:val="multilevel"/>
    <w:tmpl w:val="61F42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F724D2"/>
    <w:multiLevelType w:val="multilevel"/>
    <w:tmpl w:val="7488FF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3C3C51"/>
    <w:multiLevelType w:val="multilevel"/>
    <w:tmpl w:val="4ED60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88046C"/>
    <w:multiLevelType w:val="multilevel"/>
    <w:tmpl w:val="0158D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DC0C2E"/>
    <w:multiLevelType w:val="multilevel"/>
    <w:tmpl w:val="EEFA8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5B37DC2"/>
    <w:multiLevelType w:val="multilevel"/>
    <w:tmpl w:val="A174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8167A"/>
    <w:multiLevelType w:val="multilevel"/>
    <w:tmpl w:val="0158D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23801428">
    <w:abstractNumId w:val="1"/>
  </w:num>
  <w:num w:numId="2" w16cid:durableId="1364749924">
    <w:abstractNumId w:val="2"/>
  </w:num>
  <w:num w:numId="3" w16cid:durableId="1298996657">
    <w:abstractNumId w:val="4"/>
  </w:num>
  <w:num w:numId="4" w16cid:durableId="335545352">
    <w:abstractNumId w:val="0"/>
  </w:num>
  <w:num w:numId="5" w16cid:durableId="1471169886">
    <w:abstractNumId w:val="5"/>
  </w:num>
  <w:num w:numId="6" w16cid:durableId="1824201849">
    <w:abstractNumId w:val="6"/>
  </w:num>
  <w:num w:numId="7" w16cid:durableId="187451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0C"/>
    <w:rsid w:val="00042674"/>
    <w:rsid w:val="000609DC"/>
    <w:rsid w:val="00132714"/>
    <w:rsid w:val="001753B3"/>
    <w:rsid w:val="001A4AF4"/>
    <w:rsid w:val="001D1589"/>
    <w:rsid w:val="001F782D"/>
    <w:rsid w:val="002446F3"/>
    <w:rsid w:val="00250ED7"/>
    <w:rsid w:val="00260981"/>
    <w:rsid w:val="003304A8"/>
    <w:rsid w:val="00350730"/>
    <w:rsid w:val="00414728"/>
    <w:rsid w:val="0045718A"/>
    <w:rsid w:val="0048258F"/>
    <w:rsid w:val="004A0D1B"/>
    <w:rsid w:val="004F34AB"/>
    <w:rsid w:val="005346E6"/>
    <w:rsid w:val="00557C0C"/>
    <w:rsid w:val="005813DE"/>
    <w:rsid w:val="00591758"/>
    <w:rsid w:val="006460BD"/>
    <w:rsid w:val="006F69CF"/>
    <w:rsid w:val="0074760C"/>
    <w:rsid w:val="007D2E28"/>
    <w:rsid w:val="007D6B0C"/>
    <w:rsid w:val="00864E60"/>
    <w:rsid w:val="00864FB6"/>
    <w:rsid w:val="008E7E01"/>
    <w:rsid w:val="00906C74"/>
    <w:rsid w:val="00AA747F"/>
    <w:rsid w:val="00AC1511"/>
    <w:rsid w:val="00AF732B"/>
    <w:rsid w:val="00B03E57"/>
    <w:rsid w:val="00BA521A"/>
    <w:rsid w:val="00BC038A"/>
    <w:rsid w:val="00C3728A"/>
    <w:rsid w:val="00CA3940"/>
    <w:rsid w:val="00CA6D41"/>
    <w:rsid w:val="00CE1434"/>
    <w:rsid w:val="00D06730"/>
    <w:rsid w:val="00D6180F"/>
    <w:rsid w:val="00DE31DE"/>
    <w:rsid w:val="00DF146C"/>
    <w:rsid w:val="00E13758"/>
    <w:rsid w:val="00E2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6BE8"/>
  <w15:docId w15:val="{D887662A-4654-487A-8F3E-89D4F545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CA3940"/>
    <w:pPr>
      <w:spacing w:line="240" w:lineRule="auto"/>
    </w:pPr>
  </w:style>
  <w:style w:type="paragraph" w:styleId="ListParagraph">
    <w:name w:val="List Paragraph"/>
    <w:basedOn w:val="Normal"/>
    <w:uiPriority w:val="34"/>
    <w:qFormat/>
    <w:rsid w:val="00591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1812">
      <w:bodyDiv w:val="1"/>
      <w:marLeft w:val="0"/>
      <w:marRight w:val="0"/>
      <w:marTop w:val="0"/>
      <w:marBottom w:val="0"/>
      <w:divBdr>
        <w:top w:val="none" w:sz="0" w:space="0" w:color="auto"/>
        <w:left w:val="none" w:sz="0" w:space="0" w:color="auto"/>
        <w:bottom w:val="none" w:sz="0" w:space="0" w:color="auto"/>
        <w:right w:val="none" w:sz="0" w:space="0" w:color="auto"/>
      </w:divBdr>
    </w:div>
    <w:div w:id="171991237">
      <w:bodyDiv w:val="1"/>
      <w:marLeft w:val="0"/>
      <w:marRight w:val="0"/>
      <w:marTop w:val="0"/>
      <w:marBottom w:val="0"/>
      <w:divBdr>
        <w:top w:val="none" w:sz="0" w:space="0" w:color="auto"/>
        <w:left w:val="none" w:sz="0" w:space="0" w:color="auto"/>
        <w:bottom w:val="none" w:sz="0" w:space="0" w:color="auto"/>
        <w:right w:val="none" w:sz="0" w:space="0" w:color="auto"/>
      </w:divBdr>
    </w:div>
    <w:div w:id="193034971">
      <w:bodyDiv w:val="1"/>
      <w:marLeft w:val="0"/>
      <w:marRight w:val="0"/>
      <w:marTop w:val="0"/>
      <w:marBottom w:val="0"/>
      <w:divBdr>
        <w:top w:val="none" w:sz="0" w:space="0" w:color="auto"/>
        <w:left w:val="none" w:sz="0" w:space="0" w:color="auto"/>
        <w:bottom w:val="none" w:sz="0" w:space="0" w:color="auto"/>
        <w:right w:val="none" w:sz="0" w:space="0" w:color="auto"/>
      </w:divBdr>
    </w:div>
    <w:div w:id="224998417">
      <w:bodyDiv w:val="1"/>
      <w:marLeft w:val="0"/>
      <w:marRight w:val="0"/>
      <w:marTop w:val="0"/>
      <w:marBottom w:val="0"/>
      <w:divBdr>
        <w:top w:val="none" w:sz="0" w:space="0" w:color="auto"/>
        <w:left w:val="none" w:sz="0" w:space="0" w:color="auto"/>
        <w:bottom w:val="none" w:sz="0" w:space="0" w:color="auto"/>
        <w:right w:val="none" w:sz="0" w:space="0" w:color="auto"/>
      </w:divBdr>
    </w:div>
    <w:div w:id="309134103">
      <w:bodyDiv w:val="1"/>
      <w:marLeft w:val="0"/>
      <w:marRight w:val="0"/>
      <w:marTop w:val="0"/>
      <w:marBottom w:val="0"/>
      <w:divBdr>
        <w:top w:val="none" w:sz="0" w:space="0" w:color="auto"/>
        <w:left w:val="none" w:sz="0" w:space="0" w:color="auto"/>
        <w:bottom w:val="none" w:sz="0" w:space="0" w:color="auto"/>
        <w:right w:val="none" w:sz="0" w:space="0" w:color="auto"/>
      </w:divBdr>
    </w:div>
    <w:div w:id="416678759">
      <w:bodyDiv w:val="1"/>
      <w:marLeft w:val="0"/>
      <w:marRight w:val="0"/>
      <w:marTop w:val="0"/>
      <w:marBottom w:val="0"/>
      <w:divBdr>
        <w:top w:val="none" w:sz="0" w:space="0" w:color="auto"/>
        <w:left w:val="none" w:sz="0" w:space="0" w:color="auto"/>
        <w:bottom w:val="none" w:sz="0" w:space="0" w:color="auto"/>
        <w:right w:val="none" w:sz="0" w:space="0" w:color="auto"/>
      </w:divBdr>
    </w:div>
    <w:div w:id="489686016">
      <w:bodyDiv w:val="1"/>
      <w:marLeft w:val="0"/>
      <w:marRight w:val="0"/>
      <w:marTop w:val="0"/>
      <w:marBottom w:val="0"/>
      <w:divBdr>
        <w:top w:val="none" w:sz="0" w:space="0" w:color="auto"/>
        <w:left w:val="none" w:sz="0" w:space="0" w:color="auto"/>
        <w:bottom w:val="none" w:sz="0" w:space="0" w:color="auto"/>
        <w:right w:val="none" w:sz="0" w:space="0" w:color="auto"/>
      </w:divBdr>
    </w:div>
    <w:div w:id="646472946">
      <w:bodyDiv w:val="1"/>
      <w:marLeft w:val="0"/>
      <w:marRight w:val="0"/>
      <w:marTop w:val="0"/>
      <w:marBottom w:val="0"/>
      <w:divBdr>
        <w:top w:val="none" w:sz="0" w:space="0" w:color="auto"/>
        <w:left w:val="none" w:sz="0" w:space="0" w:color="auto"/>
        <w:bottom w:val="none" w:sz="0" w:space="0" w:color="auto"/>
        <w:right w:val="none" w:sz="0" w:space="0" w:color="auto"/>
      </w:divBdr>
    </w:div>
    <w:div w:id="698702598">
      <w:bodyDiv w:val="1"/>
      <w:marLeft w:val="0"/>
      <w:marRight w:val="0"/>
      <w:marTop w:val="0"/>
      <w:marBottom w:val="0"/>
      <w:divBdr>
        <w:top w:val="none" w:sz="0" w:space="0" w:color="auto"/>
        <w:left w:val="none" w:sz="0" w:space="0" w:color="auto"/>
        <w:bottom w:val="none" w:sz="0" w:space="0" w:color="auto"/>
        <w:right w:val="none" w:sz="0" w:space="0" w:color="auto"/>
      </w:divBdr>
    </w:div>
    <w:div w:id="737825396">
      <w:bodyDiv w:val="1"/>
      <w:marLeft w:val="0"/>
      <w:marRight w:val="0"/>
      <w:marTop w:val="0"/>
      <w:marBottom w:val="0"/>
      <w:divBdr>
        <w:top w:val="none" w:sz="0" w:space="0" w:color="auto"/>
        <w:left w:val="none" w:sz="0" w:space="0" w:color="auto"/>
        <w:bottom w:val="none" w:sz="0" w:space="0" w:color="auto"/>
        <w:right w:val="none" w:sz="0" w:space="0" w:color="auto"/>
      </w:divBdr>
    </w:div>
    <w:div w:id="797377159">
      <w:bodyDiv w:val="1"/>
      <w:marLeft w:val="0"/>
      <w:marRight w:val="0"/>
      <w:marTop w:val="0"/>
      <w:marBottom w:val="0"/>
      <w:divBdr>
        <w:top w:val="none" w:sz="0" w:space="0" w:color="auto"/>
        <w:left w:val="none" w:sz="0" w:space="0" w:color="auto"/>
        <w:bottom w:val="none" w:sz="0" w:space="0" w:color="auto"/>
        <w:right w:val="none" w:sz="0" w:space="0" w:color="auto"/>
      </w:divBdr>
    </w:div>
    <w:div w:id="1142232847">
      <w:bodyDiv w:val="1"/>
      <w:marLeft w:val="0"/>
      <w:marRight w:val="0"/>
      <w:marTop w:val="0"/>
      <w:marBottom w:val="0"/>
      <w:divBdr>
        <w:top w:val="none" w:sz="0" w:space="0" w:color="auto"/>
        <w:left w:val="none" w:sz="0" w:space="0" w:color="auto"/>
        <w:bottom w:val="none" w:sz="0" w:space="0" w:color="auto"/>
        <w:right w:val="none" w:sz="0" w:space="0" w:color="auto"/>
      </w:divBdr>
    </w:div>
    <w:div w:id="1186822649">
      <w:bodyDiv w:val="1"/>
      <w:marLeft w:val="0"/>
      <w:marRight w:val="0"/>
      <w:marTop w:val="0"/>
      <w:marBottom w:val="0"/>
      <w:divBdr>
        <w:top w:val="none" w:sz="0" w:space="0" w:color="auto"/>
        <w:left w:val="none" w:sz="0" w:space="0" w:color="auto"/>
        <w:bottom w:val="none" w:sz="0" w:space="0" w:color="auto"/>
        <w:right w:val="none" w:sz="0" w:space="0" w:color="auto"/>
      </w:divBdr>
    </w:div>
    <w:div w:id="1207763817">
      <w:bodyDiv w:val="1"/>
      <w:marLeft w:val="0"/>
      <w:marRight w:val="0"/>
      <w:marTop w:val="0"/>
      <w:marBottom w:val="0"/>
      <w:divBdr>
        <w:top w:val="none" w:sz="0" w:space="0" w:color="auto"/>
        <w:left w:val="none" w:sz="0" w:space="0" w:color="auto"/>
        <w:bottom w:val="none" w:sz="0" w:space="0" w:color="auto"/>
        <w:right w:val="none" w:sz="0" w:space="0" w:color="auto"/>
      </w:divBdr>
    </w:div>
    <w:div w:id="1209605751">
      <w:bodyDiv w:val="1"/>
      <w:marLeft w:val="0"/>
      <w:marRight w:val="0"/>
      <w:marTop w:val="0"/>
      <w:marBottom w:val="0"/>
      <w:divBdr>
        <w:top w:val="none" w:sz="0" w:space="0" w:color="auto"/>
        <w:left w:val="none" w:sz="0" w:space="0" w:color="auto"/>
        <w:bottom w:val="none" w:sz="0" w:space="0" w:color="auto"/>
        <w:right w:val="none" w:sz="0" w:space="0" w:color="auto"/>
      </w:divBdr>
    </w:div>
    <w:div w:id="1224439983">
      <w:bodyDiv w:val="1"/>
      <w:marLeft w:val="0"/>
      <w:marRight w:val="0"/>
      <w:marTop w:val="0"/>
      <w:marBottom w:val="0"/>
      <w:divBdr>
        <w:top w:val="none" w:sz="0" w:space="0" w:color="auto"/>
        <w:left w:val="none" w:sz="0" w:space="0" w:color="auto"/>
        <w:bottom w:val="none" w:sz="0" w:space="0" w:color="auto"/>
        <w:right w:val="none" w:sz="0" w:space="0" w:color="auto"/>
      </w:divBdr>
    </w:div>
    <w:div w:id="1378553159">
      <w:bodyDiv w:val="1"/>
      <w:marLeft w:val="0"/>
      <w:marRight w:val="0"/>
      <w:marTop w:val="0"/>
      <w:marBottom w:val="0"/>
      <w:divBdr>
        <w:top w:val="none" w:sz="0" w:space="0" w:color="auto"/>
        <w:left w:val="none" w:sz="0" w:space="0" w:color="auto"/>
        <w:bottom w:val="none" w:sz="0" w:space="0" w:color="auto"/>
        <w:right w:val="none" w:sz="0" w:space="0" w:color="auto"/>
      </w:divBdr>
    </w:div>
    <w:div w:id="1422605050">
      <w:bodyDiv w:val="1"/>
      <w:marLeft w:val="0"/>
      <w:marRight w:val="0"/>
      <w:marTop w:val="0"/>
      <w:marBottom w:val="0"/>
      <w:divBdr>
        <w:top w:val="none" w:sz="0" w:space="0" w:color="auto"/>
        <w:left w:val="none" w:sz="0" w:space="0" w:color="auto"/>
        <w:bottom w:val="none" w:sz="0" w:space="0" w:color="auto"/>
        <w:right w:val="none" w:sz="0" w:space="0" w:color="auto"/>
      </w:divBdr>
    </w:div>
    <w:div w:id="1504541053">
      <w:bodyDiv w:val="1"/>
      <w:marLeft w:val="0"/>
      <w:marRight w:val="0"/>
      <w:marTop w:val="0"/>
      <w:marBottom w:val="0"/>
      <w:divBdr>
        <w:top w:val="none" w:sz="0" w:space="0" w:color="auto"/>
        <w:left w:val="none" w:sz="0" w:space="0" w:color="auto"/>
        <w:bottom w:val="none" w:sz="0" w:space="0" w:color="auto"/>
        <w:right w:val="none" w:sz="0" w:space="0" w:color="auto"/>
      </w:divBdr>
    </w:div>
    <w:div w:id="1627390894">
      <w:bodyDiv w:val="1"/>
      <w:marLeft w:val="0"/>
      <w:marRight w:val="0"/>
      <w:marTop w:val="0"/>
      <w:marBottom w:val="0"/>
      <w:divBdr>
        <w:top w:val="none" w:sz="0" w:space="0" w:color="auto"/>
        <w:left w:val="none" w:sz="0" w:space="0" w:color="auto"/>
        <w:bottom w:val="none" w:sz="0" w:space="0" w:color="auto"/>
        <w:right w:val="none" w:sz="0" w:space="0" w:color="auto"/>
      </w:divBdr>
    </w:div>
    <w:div w:id="1641037650">
      <w:bodyDiv w:val="1"/>
      <w:marLeft w:val="0"/>
      <w:marRight w:val="0"/>
      <w:marTop w:val="0"/>
      <w:marBottom w:val="0"/>
      <w:divBdr>
        <w:top w:val="none" w:sz="0" w:space="0" w:color="auto"/>
        <w:left w:val="none" w:sz="0" w:space="0" w:color="auto"/>
        <w:bottom w:val="none" w:sz="0" w:space="0" w:color="auto"/>
        <w:right w:val="none" w:sz="0" w:space="0" w:color="auto"/>
      </w:divBdr>
    </w:div>
    <w:div w:id="1701659986">
      <w:bodyDiv w:val="1"/>
      <w:marLeft w:val="0"/>
      <w:marRight w:val="0"/>
      <w:marTop w:val="0"/>
      <w:marBottom w:val="0"/>
      <w:divBdr>
        <w:top w:val="none" w:sz="0" w:space="0" w:color="auto"/>
        <w:left w:val="none" w:sz="0" w:space="0" w:color="auto"/>
        <w:bottom w:val="none" w:sz="0" w:space="0" w:color="auto"/>
        <w:right w:val="none" w:sz="0" w:space="0" w:color="auto"/>
      </w:divBdr>
    </w:div>
    <w:div w:id="1719745453">
      <w:bodyDiv w:val="1"/>
      <w:marLeft w:val="0"/>
      <w:marRight w:val="0"/>
      <w:marTop w:val="0"/>
      <w:marBottom w:val="0"/>
      <w:divBdr>
        <w:top w:val="none" w:sz="0" w:space="0" w:color="auto"/>
        <w:left w:val="none" w:sz="0" w:space="0" w:color="auto"/>
        <w:bottom w:val="none" w:sz="0" w:space="0" w:color="auto"/>
        <w:right w:val="none" w:sz="0" w:space="0" w:color="auto"/>
      </w:divBdr>
    </w:div>
    <w:div w:id="1790780512">
      <w:bodyDiv w:val="1"/>
      <w:marLeft w:val="0"/>
      <w:marRight w:val="0"/>
      <w:marTop w:val="0"/>
      <w:marBottom w:val="0"/>
      <w:divBdr>
        <w:top w:val="none" w:sz="0" w:space="0" w:color="auto"/>
        <w:left w:val="none" w:sz="0" w:space="0" w:color="auto"/>
        <w:bottom w:val="none" w:sz="0" w:space="0" w:color="auto"/>
        <w:right w:val="none" w:sz="0" w:space="0" w:color="auto"/>
      </w:divBdr>
    </w:div>
    <w:div w:id="1841390874">
      <w:bodyDiv w:val="1"/>
      <w:marLeft w:val="0"/>
      <w:marRight w:val="0"/>
      <w:marTop w:val="0"/>
      <w:marBottom w:val="0"/>
      <w:divBdr>
        <w:top w:val="none" w:sz="0" w:space="0" w:color="auto"/>
        <w:left w:val="none" w:sz="0" w:space="0" w:color="auto"/>
        <w:bottom w:val="none" w:sz="0" w:space="0" w:color="auto"/>
        <w:right w:val="none" w:sz="0" w:space="0" w:color="auto"/>
      </w:divBdr>
    </w:div>
    <w:div w:id="1879199570">
      <w:bodyDiv w:val="1"/>
      <w:marLeft w:val="0"/>
      <w:marRight w:val="0"/>
      <w:marTop w:val="0"/>
      <w:marBottom w:val="0"/>
      <w:divBdr>
        <w:top w:val="none" w:sz="0" w:space="0" w:color="auto"/>
        <w:left w:val="none" w:sz="0" w:space="0" w:color="auto"/>
        <w:bottom w:val="none" w:sz="0" w:space="0" w:color="auto"/>
        <w:right w:val="none" w:sz="0" w:space="0" w:color="auto"/>
      </w:divBdr>
    </w:div>
    <w:div w:id="1975404526">
      <w:bodyDiv w:val="1"/>
      <w:marLeft w:val="0"/>
      <w:marRight w:val="0"/>
      <w:marTop w:val="0"/>
      <w:marBottom w:val="0"/>
      <w:divBdr>
        <w:top w:val="none" w:sz="0" w:space="0" w:color="auto"/>
        <w:left w:val="none" w:sz="0" w:space="0" w:color="auto"/>
        <w:bottom w:val="none" w:sz="0" w:space="0" w:color="auto"/>
        <w:right w:val="none" w:sz="0" w:space="0" w:color="auto"/>
      </w:divBdr>
    </w:div>
    <w:div w:id="2024358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licfrppdata.realpropertyprofile.gov/" TargetMode="External"/><Relationship Id="rId3" Type="http://schemas.openxmlformats.org/officeDocument/2006/relationships/settings" Target="settings.xml"/><Relationship Id="rId7" Type="http://schemas.openxmlformats.org/officeDocument/2006/relationships/hyperlink" Target="https://publicfrppdata.realpropertyprofil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a.gov/frpp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3</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ElizabethSFahey</dc:creator>
  <cp:lastModifiedBy>ElizabethSFahey</cp:lastModifiedBy>
  <cp:revision>6</cp:revision>
  <dcterms:created xsi:type="dcterms:W3CDTF">2023-07-31T18:20:00Z</dcterms:created>
  <dcterms:modified xsi:type="dcterms:W3CDTF">2023-09-12T17:34:00Z</dcterms:modified>
</cp:coreProperties>
</file>