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EE72F" w14:textId="34C89266" w:rsidR="00CF4660" w:rsidRDefault="00E9130A" w:rsidP="002466A5">
      <w:pPr>
        <w:pStyle w:val="NoblisTitlePageTextLevel1"/>
      </w:pPr>
      <w:r>
        <w:rPr>
          <w:noProof/>
        </w:rPr>
        <w:drawing>
          <wp:anchor distT="0" distB="0" distL="114300" distR="114300" simplePos="0" relativeHeight="251654656" behindDoc="0" locked="0" layoutInCell="1" allowOverlap="1" wp14:anchorId="299DE79D" wp14:editId="2961E125">
            <wp:simplePos x="0" y="0"/>
            <wp:positionH relativeFrom="column">
              <wp:posOffset>-273050</wp:posOffset>
            </wp:positionH>
            <wp:positionV relativeFrom="paragraph">
              <wp:posOffset>-138982</wp:posOffset>
            </wp:positionV>
            <wp:extent cx="6629400" cy="1379220"/>
            <wp:effectExtent l="0" t="0" r="0" b="0"/>
            <wp:wrapNone/>
            <wp:docPr id="2" name="Picture 2" descr="blue square with GSA logo and red banner with Federal Acquisition Seriv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lue square with GSA logo and red banner with Federal Acquisition Serivce"/>
                    <pic:cNvPicPr>
                      <a:picLocks noChangeAspect="1" noChangeArrowheads="1"/>
                    </pic:cNvPicPr>
                  </pic:nvPicPr>
                  <pic:blipFill>
                    <a:blip r:embed="rId11" cstate="print"/>
                    <a:srcRect/>
                    <a:stretch>
                      <a:fillRect/>
                    </a:stretch>
                  </pic:blipFill>
                  <pic:spPr bwMode="auto">
                    <a:xfrm>
                      <a:off x="0" y="0"/>
                      <a:ext cx="6629400" cy="1379220"/>
                    </a:xfrm>
                    <a:prstGeom prst="rect">
                      <a:avLst/>
                    </a:prstGeom>
                    <a:noFill/>
                  </pic:spPr>
                </pic:pic>
              </a:graphicData>
            </a:graphic>
          </wp:anchor>
        </w:drawing>
      </w:r>
    </w:p>
    <w:p w14:paraId="1E97D2C3" w14:textId="77777777" w:rsidR="00CF4660" w:rsidRDefault="00CF4660" w:rsidP="002466A5">
      <w:pPr>
        <w:pStyle w:val="NoblisTitlePageTextLevel1"/>
      </w:pPr>
    </w:p>
    <w:p w14:paraId="417D50C4" w14:textId="77777777" w:rsidR="003E40DE" w:rsidRDefault="003E40DE" w:rsidP="002466A5">
      <w:pPr>
        <w:pStyle w:val="GSAHeading"/>
      </w:pPr>
    </w:p>
    <w:p w14:paraId="7F904571" w14:textId="77777777" w:rsidR="00DC7B40" w:rsidRDefault="00DC7B40" w:rsidP="002466A5">
      <w:pPr>
        <w:pStyle w:val="GSAHeading"/>
      </w:pPr>
    </w:p>
    <w:p w14:paraId="5CC502E0" w14:textId="77777777" w:rsidR="001E340C" w:rsidRPr="00824AA6" w:rsidRDefault="001E340C" w:rsidP="002466A5">
      <w:pPr>
        <w:pStyle w:val="GSAHeading"/>
      </w:pPr>
      <w:r w:rsidRPr="00824AA6">
        <w:t>GSA Transition Coordination Center</w:t>
      </w:r>
    </w:p>
    <w:p w14:paraId="0D0C2AE9" w14:textId="77777777" w:rsidR="001E340C" w:rsidRPr="00824AA6" w:rsidRDefault="001E340C" w:rsidP="002466A5">
      <w:pPr>
        <w:pStyle w:val="DocumentName"/>
      </w:pPr>
    </w:p>
    <w:p w14:paraId="26D6F6D3" w14:textId="77777777" w:rsidR="001E340C" w:rsidRPr="009C4AC6" w:rsidRDefault="00824AA6" w:rsidP="009C4AC6">
      <w:pPr>
        <w:jc w:val="center"/>
        <w:rPr>
          <w:rFonts w:ascii="Arial Bold" w:hAnsi="Arial Bold"/>
          <w:b/>
          <w:bCs/>
          <w:caps/>
          <w:sz w:val="44"/>
        </w:rPr>
      </w:pPr>
      <w:r w:rsidRPr="009C4AC6">
        <w:rPr>
          <w:rFonts w:ascii="Arial Bold" w:hAnsi="Arial Bold"/>
          <w:b/>
          <w:bCs/>
          <w:caps/>
          <w:sz w:val="44"/>
        </w:rPr>
        <w:t>TRANSITION HANDBOOK</w:t>
      </w:r>
    </w:p>
    <w:p w14:paraId="1FC7CFC0" w14:textId="77777777" w:rsidR="00824AA6" w:rsidRPr="009C4AC6" w:rsidRDefault="00824AA6" w:rsidP="009C4AC6">
      <w:pPr>
        <w:pStyle w:val="Subtitle0"/>
        <w:jc w:val="center"/>
        <w:rPr>
          <w:rFonts w:ascii="Arial Bold" w:eastAsiaTheme="minorEastAsia" w:hAnsi="Arial Bold" w:cs="Arial"/>
          <w:bCs/>
          <w:caps/>
          <w:color w:val="auto"/>
          <w:sz w:val="36"/>
          <w:szCs w:val="36"/>
        </w:rPr>
      </w:pPr>
      <w:r w:rsidRPr="009C4AC6">
        <w:rPr>
          <w:rFonts w:ascii="Arial Bold" w:eastAsiaTheme="minorEastAsia" w:hAnsi="Arial Bold" w:cs="Arial"/>
          <w:bCs/>
          <w:caps/>
          <w:color w:val="auto"/>
          <w:sz w:val="36"/>
          <w:szCs w:val="36"/>
        </w:rPr>
        <w:t xml:space="preserve">NETWORX, WITS 3, AND </w:t>
      </w:r>
      <w:r w:rsidR="008C4A5F">
        <w:rPr>
          <w:rFonts w:ascii="Arial Bold" w:eastAsiaTheme="minorEastAsia" w:hAnsi="Arial Bold" w:cs="Arial"/>
          <w:bCs/>
          <w:caps/>
          <w:color w:val="auto"/>
          <w:sz w:val="36"/>
          <w:szCs w:val="36"/>
        </w:rPr>
        <w:t>GSA REGIONAL LOCAL SERVICE</w:t>
      </w:r>
      <w:r w:rsidRPr="009C4AC6">
        <w:rPr>
          <w:rFonts w:ascii="Arial Bold" w:eastAsiaTheme="minorEastAsia" w:hAnsi="Arial Bold" w:cs="Arial"/>
          <w:bCs/>
          <w:caps/>
          <w:color w:val="auto"/>
          <w:sz w:val="36"/>
          <w:szCs w:val="36"/>
        </w:rPr>
        <w:t>S TO ENTERPRISE INFRASTRUCTURE SOLUTIONS (EIS) CONTRACTS</w:t>
      </w:r>
    </w:p>
    <w:p w14:paraId="4F79BD16" w14:textId="77777777" w:rsidR="00824AA6" w:rsidRPr="000A16F4" w:rsidRDefault="00824AA6" w:rsidP="002466A5"/>
    <w:p w14:paraId="0C57C1A6" w14:textId="69A78F8D" w:rsidR="001E340C" w:rsidRDefault="00E47191" w:rsidP="002466A5">
      <w:pPr>
        <w:pStyle w:val="DocumentName"/>
      </w:pPr>
      <w:r w:rsidRPr="0053577C">
        <w:t xml:space="preserve">Version </w:t>
      </w:r>
      <w:r w:rsidR="00BB51E0">
        <w:t>7.</w:t>
      </w:r>
      <w:r w:rsidR="00BC05D3">
        <w:t>1</w:t>
      </w:r>
    </w:p>
    <w:p w14:paraId="1DACA9D1" w14:textId="1B6D683F" w:rsidR="00C60C6F" w:rsidRDefault="002A1EB7" w:rsidP="002466A5">
      <w:pPr>
        <w:pStyle w:val="DocumentName"/>
      </w:pPr>
      <w:r>
        <w:t xml:space="preserve">June </w:t>
      </w:r>
      <w:r w:rsidR="00BC05D3">
        <w:t>2</w:t>
      </w:r>
      <w:r>
        <w:t>8</w:t>
      </w:r>
      <w:r w:rsidR="00BE1FCA">
        <w:t>, 2022</w:t>
      </w:r>
    </w:p>
    <w:p w14:paraId="03FB665C" w14:textId="77777777" w:rsidR="00C60C6F" w:rsidRPr="00824AA6" w:rsidRDefault="00C60C6F" w:rsidP="002466A5">
      <w:pPr>
        <w:pStyle w:val="DocumentName"/>
      </w:pPr>
    </w:p>
    <w:p w14:paraId="5E928A12" w14:textId="77777777" w:rsidR="00C21143" w:rsidRDefault="00C21143" w:rsidP="009C4AC6">
      <w:pPr>
        <w:jc w:val="center"/>
      </w:pPr>
    </w:p>
    <w:p w14:paraId="36C7CCA6" w14:textId="0D4471F0" w:rsidR="009108B3" w:rsidRPr="00B624FD" w:rsidRDefault="009108B3" w:rsidP="009C4AC6">
      <w:pPr>
        <w:jc w:val="center"/>
      </w:pPr>
      <w:r w:rsidRPr="00B624FD">
        <w:t>DTID</w:t>
      </w:r>
      <w:r w:rsidR="00824AA6">
        <w:t xml:space="preserve"> #</w:t>
      </w:r>
      <w:r w:rsidRPr="00B624FD">
        <w:t xml:space="preserve">:  </w:t>
      </w:r>
      <w:r w:rsidR="00824AA6" w:rsidRPr="00824AA6">
        <w:t>TCC</w:t>
      </w:r>
      <w:r w:rsidR="006D44EF">
        <w:t>2</w:t>
      </w:r>
      <w:r w:rsidR="00824AA6" w:rsidRPr="00824AA6">
        <w:t>-ASC-</w:t>
      </w:r>
      <w:r w:rsidR="006D44EF">
        <w:t>0068</w:t>
      </w:r>
      <w:r w:rsidR="00824AA6" w:rsidRPr="00824AA6">
        <w:t>-</w:t>
      </w:r>
      <w:r w:rsidR="00DC185B">
        <w:t>20</w:t>
      </w:r>
      <w:r w:rsidR="00BB51E0">
        <w:t>220</w:t>
      </w:r>
      <w:r w:rsidR="002A1EB7">
        <w:t>0608</w:t>
      </w:r>
      <w:r w:rsidR="00BB51E0">
        <w:t>-7</w:t>
      </w:r>
    </w:p>
    <w:p w14:paraId="2A02DCAA" w14:textId="77777777" w:rsidR="00C21143" w:rsidRDefault="00C21143" w:rsidP="009C4AC6">
      <w:pPr>
        <w:jc w:val="center"/>
      </w:pPr>
    </w:p>
    <w:p w14:paraId="4AD82FDD" w14:textId="77777777" w:rsidR="00C21143" w:rsidRPr="00B624FD" w:rsidRDefault="00C21143" w:rsidP="009C4AC6">
      <w:pPr>
        <w:jc w:val="center"/>
      </w:pPr>
      <w:r w:rsidRPr="00B624FD">
        <w:t>PREPARED FOR</w:t>
      </w:r>
    </w:p>
    <w:p w14:paraId="62B0FD69" w14:textId="77777777" w:rsidR="009108B3" w:rsidRPr="00B624FD" w:rsidRDefault="009108B3" w:rsidP="009C4AC6">
      <w:pPr>
        <w:jc w:val="center"/>
      </w:pPr>
      <w:r w:rsidRPr="00B624FD">
        <w:t>Transition Coordination Center</w:t>
      </w:r>
    </w:p>
    <w:p w14:paraId="3AF693F7" w14:textId="77777777" w:rsidR="00C21143" w:rsidRPr="00B624FD" w:rsidRDefault="00C21143" w:rsidP="009C4AC6">
      <w:pPr>
        <w:jc w:val="center"/>
      </w:pPr>
      <w:r w:rsidRPr="00B624FD">
        <w:t>General Services Administration</w:t>
      </w:r>
    </w:p>
    <w:p w14:paraId="20973702" w14:textId="77777777" w:rsidR="00C21143" w:rsidRPr="00B624FD" w:rsidRDefault="00C21143" w:rsidP="009C4AC6">
      <w:pPr>
        <w:jc w:val="center"/>
      </w:pPr>
      <w:r w:rsidRPr="00B624FD">
        <w:t>Federal Acquisition Service</w:t>
      </w:r>
    </w:p>
    <w:p w14:paraId="64261E1E" w14:textId="77777777" w:rsidR="00C21143" w:rsidRPr="009C4AC6" w:rsidRDefault="00C21143" w:rsidP="009C4AC6">
      <w:pPr>
        <w:pStyle w:val="GSAAddress"/>
        <w:spacing w:after="0"/>
        <w:rPr>
          <w:b w:val="0"/>
          <w:bCs w:val="0"/>
          <w:szCs w:val="22"/>
        </w:rPr>
      </w:pPr>
      <w:r w:rsidRPr="009C4AC6">
        <w:rPr>
          <w:b w:val="0"/>
          <w:bCs w:val="0"/>
          <w:szCs w:val="22"/>
        </w:rPr>
        <w:t>1800 F Street NW</w:t>
      </w:r>
    </w:p>
    <w:p w14:paraId="255E4F4C" w14:textId="77777777" w:rsidR="00C21143" w:rsidRPr="009C4AC6" w:rsidRDefault="00C21143" w:rsidP="009C4AC6">
      <w:pPr>
        <w:pStyle w:val="GSAAddress"/>
        <w:spacing w:after="0"/>
        <w:rPr>
          <w:b w:val="0"/>
          <w:bCs w:val="0"/>
          <w:szCs w:val="22"/>
        </w:rPr>
      </w:pPr>
      <w:r w:rsidRPr="009C4AC6">
        <w:rPr>
          <w:b w:val="0"/>
          <w:bCs w:val="0"/>
          <w:szCs w:val="22"/>
        </w:rPr>
        <w:t>Washington, DC 20405</w:t>
      </w:r>
    </w:p>
    <w:p w14:paraId="2E14EDC1" w14:textId="77777777" w:rsidR="00824AA6" w:rsidRPr="00B624FD" w:rsidRDefault="00824AA6" w:rsidP="002466A5">
      <w:pPr>
        <w:pStyle w:val="GSAAddress"/>
      </w:pPr>
    </w:p>
    <w:p w14:paraId="73F1C21A" w14:textId="77777777" w:rsidR="00917EBB" w:rsidRDefault="00917EBB" w:rsidP="002466A5">
      <w:pPr>
        <w:pStyle w:val="A"/>
      </w:pPr>
    </w:p>
    <w:p w14:paraId="1CB05A1B" w14:textId="77777777" w:rsidR="00917EBB" w:rsidRDefault="00917EBB" w:rsidP="002466A5">
      <w:pPr>
        <w:pStyle w:val="A"/>
      </w:pPr>
    </w:p>
    <w:p w14:paraId="347D7E9F" w14:textId="77777777" w:rsidR="009108B3" w:rsidRPr="00AE27AC" w:rsidRDefault="009108B3" w:rsidP="00DB318E">
      <w:pPr>
        <w:pStyle w:val="A"/>
        <w:jc w:val="center"/>
      </w:pPr>
      <w:r w:rsidRPr="00AE27AC">
        <w:t>Contract Number:  GS00Q12NSD0002</w:t>
      </w:r>
    </w:p>
    <w:p w14:paraId="4D6F782C" w14:textId="07674D7D" w:rsidR="009108B3" w:rsidRPr="00AE27AC" w:rsidRDefault="009108B3" w:rsidP="00DB318E">
      <w:pPr>
        <w:pStyle w:val="A"/>
        <w:jc w:val="center"/>
      </w:pPr>
      <w:r>
        <w:t xml:space="preserve">Order Number:  </w:t>
      </w:r>
      <w:r w:rsidR="006D44EF" w:rsidRPr="002A1EB7">
        <w:t>47QTCB20F0073</w:t>
      </w:r>
    </w:p>
    <w:p w14:paraId="486204BA" w14:textId="77777777" w:rsidR="007C4363" w:rsidRDefault="007C4363">
      <w:pPr>
        <w:widowControl/>
        <w:autoSpaceDE/>
        <w:autoSpaceDN/>
        <w:adjustRightInd/>
        <w:jc w:val="left"/>
      </w:pPr>
      <w:r>
        <w:br w:type="page"/>
      </w:r>
    </w:p>
    <w:p w14:paraId="1932EBC7" w14:textId="77777777" w:rsidR="00D65EC0" w:rsidRDefault="00D65EC0" w:rsidP="00D65EC0"/>
    <w:p w14:paraId="518BEF1C" w14:textId="77777777" w:rsidR="00D65EC0" w:rsidRPr="0007443E" w:rsidRDefault="00D65EC0" w:rsidP="00D65EC0">
      <w:r w:rsidRPr="0007443E">
        <w:t>This document is hereby authorized for release by the General Services Administration.</w:t>
      </w:r>
    </w:p>
    <w:p w14:paraId="0060D965" w14:textId="77777777" w:rsidR="00D65EC0" w:rsidRDefault="00D65EC0" w:rsidP="00D65EC0"/>
    <w:p w14:paraId="1E80B177" w14:textId="606DFDE9" w:rsidR="00D65EC0" w:rsidRDefault="000D4C6F" w:rsidP="00D65EC0">
      <w:r>
        <w:pict w14:anchorId="76B2B7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2" o:title=""/>
            <o:lock v:ext="edit" ungrouping="t" rotation="t" cropping="t" verticies="t" text="t" grouping="t"/>
            <o:signatureline v:ext="edit" id="{D7B11ED8-F079-4C05-9606-E6CC35A92820}" provid="{00000000-0000-0000-0000-000000000000}" o:suggestedsigner="Frederick T Haines" o:suggestedsigner2="for Tracey Malick" o:suggestedsigneremail="fred.haines@gsa.gov" issignatureline="t"/>
          </v:shape>
        </w:pict>
      </w:r>
    </w:p>
    <w:p w14:paraId="02B281A0" w14:textId="77777777" w:rsidR="00A35602" w:rsidRDefault="00A35602" w:rsidP="00D65EC0">
      <w:pPr>
        <w:tabs>
          <w:tab w:val="left" w:pos="5760"/>
        </w:tabs>
      </w:pPr>
    </w:p>
    <w:p w14:paraId="02697DD7" w14:textId="61D91EC7" w:rsidR="00D65EC0" w:rsidRDefault="00A00CC5" w:rsidP="00D65EC0">
      <w:pPr>
        <w:tabs>
          <w:tab w:val="left" w:pos="5760"/>
        </w:tabs>
      </w:pPr>
      <w:bookmarkStart w:id="0" w:name="_Hlk107327759"/>
      <w:r>
        <w:t xml:space="preserve">Acting Executive </w:t>
      </w:r>
      <w:r w:rsidR="00D65EC0">
        <w:t xml:space="preserve">Director, Office of </w:t>
      </w:r>
      <w:r>
        <w:t>Enterprise Technology Solutions</w:t>
      </w:r>
    </w:p>
    <w:p w14:paraId="240D63A5" w14:textId="77777777" w:rsidR="00D65EC0" w:rsidRDefault="00D65EC0" w:rsidP="00D65EC0">
      <w:pPr>
        <w:tabs>
          <w:tab w:val="left" w:pos="5760"/>
        </w:tabs>
      </w:pPr>
      <w:r>
        <w:t>Information Technology Category</w:t>
      </w:r>
    </w:p>
    <w:p w14:paraId="30B46FCF" w14:textId="77777777" w:rsidR="00D65EC0" w:rsidRDefault="00D65EC0" w:rsidP="00D65EC0">
      <w:pPr>
        <w:tabs>
          <w:tab w:val="left" w:pos="5760"/>
        </w:tabs>
        <w:rPr>
          <w:sz w:val="36"/>
          <w:szCs w:val="36"/>
        </w:rPr>
      </w:pPr>
      <w:r>
        <w:t>General Services Administration</w:t>
      </w:r>
    </w:p>
    <w:bookmarkEnd w:id="0"/>
    <w:p w14:paraId="153231E4" w14:textId="77777777" w:rsidR="00D65EC0" w:rsidRDefault="00D65EC0" w:rsidP="00D65EC0"/>
    <w:p w14:paraId="735C3E1E" w14:textId="3605E422" w:rsidR="00D65EC0" w:rsidRDefault="00D65EC0">
      <w:pPr>
        <w:widowControl/>
        <w:autoSpaceDE/>
        <w:autoSpaceDN/>
        <w:adjustRightInd/>
        <w:jc w:val="left"/>
      </w:pPr>
      <w:r>
        <w:br w:type="page"/>
      </w:r>
    </w:p>
    <w:p w14:paraId="0D38D492" w14:textId="3A92B60E" w:rsidR="00E736C8" w:rsidRPr="00F07E98" w:rsidRDefault="00E736C8" w:rsidP="009B2DFB"/>
    <w:sdt>
      <w:sdtPr>
        <w:rPr>
          <w:rFonts w:ascii="Arial" w:eastAsia="Times New Roman" w:hAnsi="Arial" w:cs="Arial"/>
          <w:b w:val="0"/>
          <w:bCs w:val="0"/>
          <w:color w:val="auto"/>
          <w:sz w:val="24"/>
          <w:szCs w:val="24"/>
        </w:rPr>
        <w:id w:val="1331941689"/>
        <w:docPartObj>
          <w:docPartGallery w:val="Table of Contents"/>
          <w:docPartUnique/>
        </w:docPartObj>
      </w:sdtPr>
      <w:sdtEndPr>
        <w:rPr>
          <w:noProof/>
        </w:rPr>
      </w:sdtEndPr>
      <w:sdtContent>
        <w:p w14:paraId="583F9631" w14:textId="5B62906F" w:rsidR="00E736C8" w:rsidRDefault="00E736C8">
          <w:pPr>
            <w:pStyle w:val="TOCHeading"/>
          </w:pPr>
          <w:r>
            <w:t>Table of Contents</w:t>
          </w:r>
        </w:p>
        <w:p w14:paraId="65469AEA" w14:textId="078501E3" w:rsidR="00F6719E" w:rsidRDefault="00E736C8">
          <w:pPr>
            <w:pStyle w:val="TOC1"/>
            <w:rPr>
              <w:rFonts w:asciiTheme="minorHAnsi" w:eastAsiaTheme="minorEastAsia" w:hAnsiTheme="minorHAnsi" w:cstheme="minorBidi"/>
              <w:b w:val="0"/>
              <w:color w:val="auto"/>
              <w:sz w:val="22"/>
              <w:szCs w:val="22"/>
            </w:rPr>
          </w:pPr>
          <w:r>
            <w:fldChar w:fldCharType="begin"/>
          </w:r>
          <w:r>
            <w:instrText xml:space="preserve"> TOC \o "1-3" \h \z \u </w:instrText>
          </w:r>
          <w:r>
            <w:fldChar w:fldCharType="separate"/>
          </w:r>
          <w:hyperlink w:anchor="_Toc107325275" w:history="1">
            <w:r w:rsidR="00F6719E" w:rsidRPr="008B7E69">
              <w:rPr>
                <w:rStyle w:val="Hyperlink"/>
                <w14:scene3d>
                  <w14:camera w14:prst="orthographicFront"/>
                  <w14:lightRig w14:rig="threePt" w14:dir="t">
                    <w14:rot w14:lat="0" w14:lon="0" w14:rev="0"/>
                  </w14:lightRig>
                </w14:scene3d>
              </w:rPr>
              <w:t>1</w:t>
            </w:r>
            <w:r w:rsidR="00F6719E">
              <w:rPr>
                <w:rFonts w:asciiTheme="minorHAnsi" w:eastAsiaTheme="minorEastAsia" w:hAnsiTheme="minorHAnsi" w:cstheme="minorBidi"/>
                <w:b w:val="0"/>
                <w:color w:val="auto"/>
                <w:sz w:val="22"/>
                <w:szCs w:val="22"/>
              </w:rPr>
              <w:tab/>
            </w:r>
            <w:r w:rsidR="00F6719E" w:rsidRPr="008B7E69">
              <w:rPr>
                <w:rStyle w:val="Hyperlink"/>
              </w:rPr>
              <w:t>Purpose</w:t>
            </w:r>
            <w:r w:rsidR="00F6719E">
              <w:rPr>
                <w:webHidden/>
              </w:rPr>
              <w:tab/>
            </w:r>
            <w:r w:rsidR="00F6719E">
              <w:rPr>
                <w:webHidden/>
              </w:rPr>
              <w:fldChar w:fldCharType="begin"/>
            </w:r>
            <w:r w:rsidR="00F6719E">
              <w:rPr>
                <w:webHidden/>
              </w:rPr>
              <w:instrText xml:space="preserve"> PAGEREF _Toc107325275 \h </w:instrText>
            </w:r>
            <w:r w:rsidR="00F6719E">
              <w:rPr>
                <w:webHidden/>
              </w:rPr>
            </w:r>
            <w:r w:rsidR="00F6719E">
              <w:rPr>
                <w:webHidden/>
              </w:rPr>
              <w:fldChar w:fldCharType="separate"/>
            </w:r>
            <w:r w:rsidR="00F6719E">
              <w:rPr>
                <w:webHidden/>
              </w:rPr>
              <w:t>1</w:t>
            </w:r>
            <w:r w:rsidR="00F6719E">
              <w:rPr>
                <w:webHidden/>
              </w:rPr>
              <w:fldChar w:fldCharType="end"/>
            </w:r>
          </w:hyperlink>
        </w:p>
        <w:p w14:paraId="60B1EE3B" w14:textId="45E19F83" w:rsidR="00F6719E" w:rsidRDefault="00721599">
          <w:pPr>
            <w:pStyle w:val="TOC1"/>
            <w:rPr>
              <w:rFonts w:asciiTheme="minorHAnsi" w:eastAsiaTheme="minorEastAsia" w:hAnsiTheme="minorHAnsi" w:cstheme="minorBidi"/>
              <w:b w:val="0"/>
              <w:color w:val="auto"/>
              <w:sz w:val="22"/>
              <w:szCs w:val="22"/>
            </w:rPr>
          </w:pPr>
          <w:hyperlink w:anchor="_Toc107325276" w:history="1">
            <w:r w:rsidR="00F6719E" w:rsidRPr="008B7E69">
              <w:rPr>
                <w:rStyle w:val="Hyperlink"/>
                <w14:scene3d>
                  <w14:camera w14:prst="orthographicFront"/>
                  <w14:lightRig w14:rig="threePt" w14:dir="t">
                    <w14:rot w14:lat="0" w14:lon="0" w14:rev="0"/>
                  </w14:lightRig>
                </w14:scene3d>
              </w:rPr>
              <w:t>2</w:t>
            </w:r>
            <w:r w:rsidR="00F6719E">
              <w:rPr>
                <w:rFonts w:asciiTheme="minorHAnsi" w:eastAsiaTheme="minorEastAsia" w:hAnsiTheme="minorHAnsi" w:cstheme="minorBidi"/>
                <w:b w:val="0"/>
                <w:color w:val="auto"/>
                <w:sz w:val="22"/>
                <w:szCs w:val="22"/>
              </w:rPr>
              <w:tab/>
            </w:r>
            <w:r w:rsidR="00F6719E" w:rsidRPr="008B7E69">
              <w:rPr>
                <w:rStyle w:val="Hyperlink"/>
              </w:rPr>
              <w:t>Background</w:t>
            </w:r>
            <w:r w:rsidR="00F6719E">
              <w:rPr>
                <w:webHidden/>
              </w:rPr>
              <w:tab/>
            </w:r>
            <w:r w:rsidR="00F6719E">
              <w:rPr>
                <w:webHidden/>
              </w:rPr>
              <w:fldChar w:fldCharType="begin"/>
            </w:r>
            <w:r w:rsidR="00F6719E">
              <w:rPr>
                <w:webHidden/>
              </w:rPr>
              <w:instrText xml:space="preserve"> PAGEREF _Toc107325276 \h </w:instrText>
            </w:r>
            <w:r w:rsidR="00F6719E">
              <w:rPr>
                <w:webHidden/>
              </w:rPr>
            </w:r>
            <w:r w:rsidR="00F6719E">
              <w:rPr>
                <w:webHidden/>
              </w:rPr>
              <w:fldChar w:fldCharType="separate"/>
            </w:r>
            <w:r w:rsidR="00F6719E">
              <w:rPr>
                <w:webHidden/>
              </w:rPr>
              <w:t>1</w:t>
            </w:r>
            <w:r w:rsidR="00F6719E">
              <w:rPr>
                <w:webHidden/>
              </w:rPr>
              <w:fldChar w:fldCharType="end"/>
            </w:r>
          </w:hyperlink>
        </w:p>
        <w:p w14:paraId="250D2481" w14:textId="2E326F95" w:rsidR="00F6719E" w:rsidRDefault="00721599">
          <w:pPr>
            <w:pStyle w:val="TOC1"/>
            <w:rPr>
              <w:rFonts w:asciiTheme="minorHAnsi" w:eastAsiaTheme="minorEastAsia" w:hAnsiTheme="minorHAnsi" w:cstheme="minorBidi"/>
              <w:b w:val="0"/>
              <w:color w:val="auto"/>
              <w:sz w:val="22"/>
              <w:szCs w:val="22"/>
            </w:rPr>
          </w:pPr>
          <w:hyperlink w:anchor="_Toc107325277" w:history="1">
            <w:r w:rsidR="00F6719E" w:rsidRPr="008B7E69">
              <w:rPr>
                <w:rStyle w:val="Hyperlink"/>
                <w14:scene3d>
                  <w14:camera w14:prst="orthographicFront"/>
                  <w14:lightRig w14:rig="threePt" w14:dir="t">
                    <w14:rot w14:lat="0" w14:lon="0" w14:rev="0"/>
                  </w14:lightRig>
                </w14:scene3d>
              </w:rPr>
              <w:t>3</w:t>
            </w:r>
            <w:r w:rsidR="00F6719E">
              <w:rPr>
                <w:rFonts w:asciiTheme="minorHAnsi" w:eastAsiaTheme="minorEastAsia" w:hAnsiTheme="minorHAnsi" w:cstheme="minorBidi"/>
                <w:b w:val="0"/>
                <w:color w:val="auto"/>
                <w:sz w:val="22"/>
                <w:szCs w:val="22"/>
              </w:rPr>
              <w:tab/>
            </w:r>
            <w:r w:rsidR="00F6719E" w:rsidRPr="008B7E69">
              <w:rPr>
                <w:rStyle w:val="Hyperlink"/>
              </w:rPr>
              <w:t>Successful Transition</w:t>
            </w:r>
            <w:r w:rsidR="00F6719E">
              <w:rPr>
                <w:webHidden/>
              </w:rPr>
              <w:tab/>
            </w:r>
            <w:r w:rsidR="00F6719E">
              <w:rPr>
                <w:webHidden/>
              </w:rPr>
              <w:fldChar w:fldCharType="begin"/>
            </w:r>
            <w:r w:rsidR="00F6719E">
              <w:rPr>
                <w:webHidden/>
              </w:rPr>
              <w:instrText xml:space="preserve"> PAGEREF _Toc107325277 \h </w:instrText>
            </w:r>
            <w:r w:rsidR="00F6719E">
              <w:rPr>
                <w:webHidden/>
              </w:rPr>
            </w:r>
            <w:r w:rsidR="00F6719E">
              <w:rPr>
                <w:webHidden/>
              </w:rPr>
              <w:fldChar w:fldCharType="separate"/>
            </w:r>
            <w:r w:rsidR="00F6719E">
              <w:rPr>
                <w:webHidden/>
              </w:rPr>
              <w:t>2</w:t>
            </w:r>
            <w:r w:rsidR="00F6719E">
              <w:rPr>
                <w:webHidden/>
              </w:rPr>
              <w:fldChar w:fldCharType="end"/>
            </w:r>
          </w:hyperlink>
        </w:p>
        <w:p w14:paraId="043E1EE4" w14:textId="7B78F247" w:rsidR="00F6719E" w:rsidRDefault="00721599">
          <w:pPr>
            <w:pStyle w:val="TOC1"/>
            <w:tabs>
              <w:tab w:val="left" w:pos="630"/>
            </w:tabs>
            <w:rPr>
              <w:rFonts w:asciiTheme="minorHAnsi" w:eastAsiaTheme="minorEastAsia" w:hAnsiTheme="minorHAnsi" w:cstheme="minorBidi"/>
              <w:b w:val="0"/>
              <w:color w:val="auto"/>
              <w:sz w:val="22"/>
              <w:szCs w:val="22"/>
            </w:rPr>
          </w:pPr>
          <w:hyperlink w:anchor="_Toc107325278" w:history="1">
            <w:r w:rsidR="00F6719E" w:rsidRPr="008B7E69">
              <w:rPr>
                <w:rStyle w:val="Hyperlink"/>
                <w14:scene3d>
                  <w14:camera w14:prst="orthographicFront"/>
                  <w14:lightRig w14:rig="threePt" w14:dir="t">
                    <w14:rot w14:lat="0" w14:lon="0" w14:rev="0"/>
                  </w14:lightRig>
                </w14:scene3d>
              </w:rPr>
              <w:t>3.1</w:t>
            </w:r>
            <w:r w:rsidR="00F6719E">
              <w:rPr>
                <w:rFonts w:asciiTheme="minorHAnsi" w:eastAsiaTheme="minorEastAsia" w:hAnsiTheme="minorHAnsi" w:cstheme="minorBidi"/>
                <w:b w:val="0"/>
                <w:color w:val="auto"/>
                <w:sz w:val="22"/>
                <w:szCs w:val="22"/>
              </w:rPr>
              <w:tab/>
            </w:r>
            <w:r w:rsidR="00F6719E" w:rsidRPr="008B7E69">
              <w:rPr>
                <w:rStyle w:val="Hyperlink"/>
              </w:rPr>
              <w:t>Involvement of the Agency’s highest levels and key functional areas</w:t>
            </w:r>
            <w:r w:rsidR="00F6719E">
              <w:rPr>
                <w:webHidden/>
              </w:rPr>
              <w:tab/>
            </w:r>
            <w:r w:rsidR="00F6719E">
              <w:rPr>
                <w:webHidden/>
              </w:rPr>
              <w:fldChar w:fldCharType="begin"/>
            </w:r>
            <w:r w:rsidR="00F6719E">
              <w:rPr>
                <w:webHidden/>
              </w:rPr>
              <w:instrText xml:space="preserve"> PAGEREF _Toc107325278 \h </w:instrText>
            </w:r>
            <w:r w:rsidR="00F6719E">
              <w:rPr>
                <w:webHidden/>
              </w:rPr>
            </w:r>
            <w:r w:rsidR="00F6719E">
              <w:rPr>
                <w:webHidden/>
              </w:rPr>
              <w:fldChar w:fldCharType="separate"/>
            </w:r>
            <w:r w:rsidR="00F6719E">
              <w:rPr>
                <w:webHidden/>
              </w:rPr>
              <w:t>2</w:t>
            </w:r>
            <w:r w:rsidR="00F6719E">
              <w:rPr>
                <w:webHidden/>
              </w:rPr>
              <w:fldChar w:fldCharType="end"/>
            </w:r>
          </w:hyperlink>
        </w:p>
        <w:p w14:paraId="5E33C2E1" w14:textId="2AF3E5D0" w:rsidR="00F6719E" w:rsidRDefault="00721599">
          <w:pPr>
            <w:pStyle w:val="TOC1"/>
            <w:tabs>
              <w:tab w:val="left" w:pos="630"/>
            </w:tabs>
            <w:rPr>
              <w:rFonts w:asciiTheme="minorHAnsi" w:eastAsiaTheme="minorEastAsia" w:hAnsiTheme="minorHAnsi" w:cstheme="minorBidi"/>
              <w:b w:val="0"/>
              <w:color w:val="auto"/>
              <w:sz w:val="22"/>
              <w:szCs w:val="22"/>
            </w:rPr>
          </w:pPr>
          <w:hyperlink w:anchor="_Toc107325279" w:history="1">
            <w:r w:rsidR="00F6719E" w:rsidRPr="008B7E69">
              <w:rPr>
                <w:rStyle w:val="Hyperlink"/>
                <w14:scene3d>
                  <w14:camera w14:prst="orthographicFront"/>
                  <w14:lightRig w14:rig="threePt" w14:dir="t">
                    <w14:rot w14:lat="0" w14:lon="0" w14:rev="0"/>
                  </w14:lightRig>
                </w14:scene3d>
              </w:rPr>
              <w:t>3.2</w:t>
            </w:r>
            <w:r w:rsidR="00F6719E">
              <w:rPr>
                <w:rFonts w:asciiTheme="minorHAnsi" w:eastAsiaTheme="minorEastAsia" w:hAnsiTheme="minorHAnsi" w:cstheme="minorBidi"/>
                <w:b w:val="0"/>
                <w:color w:val="auto"/>
                <w:sz w:val="22"/>
                <w:szCs w:val="22"/>
              </w:rPr>
              <w:tab/>
            </w:r>
            <w:r w:rsidR="00F6719E" w:rsidRPr="008B7E69">
              <w:rPr>
                <w:rStyle w:val="Hyperlink"/>
              </w:rPr>
              <w:t>Agency Transition Plan</w:t>
            </w:r>
            <w:r w:rsidR="00F6719E">
              <w:rPr>
                <w:webHidden/>
              </w:rPr>
              <w:tab/>
            </w:r>
            <w:r w:rsidR="00F6719E">
              <w:rPr>
                <w:webHidden/>
              </w:rPr>
              <w:fldChar w:fldCharType="begin"/>
            </w:r>
            <w:r w:rsidR="00F6719E">
              <w:rPr>
                <w:webHidden/>
              </w:rPr>
              <w:instrText xml:space="preserve"> PAGEREF _Toc107325279 \h </w:instrText>
            </w:r>
            <w:r w:rsidR="00F6719E">
              <w:rPr>
                <w:webHidden/>
              </w:rPr>
            </w:r>
            <w:r w:rsidR="00F6719E">
              <w:rPr>
                <w:webHidden/>
              </w:rPr>
              <w:fldChar w:fldCharType="separate"/>
            </w:r>
            <w:r w:rsidR="00F6719E">
              <w:rPr>
                <w:webHidden/>
              </w:rPr>
              <w:t>3</w:t>
            </w:r>
            <w:r w:rsidR="00F6719E">
              <w:rPr>
                <w:webHidden/>
              </w:rPr>
              <w:fldChar w:fldCharType="end"/>
            </w:r>
          </w:hyperlink>
        </w:p>
        <w:p w14:paraId="02C81878" w14:textId="2B59EC79" w:rsidR="00F6719E" w:rsidRDefault="00721599">
          <w:pPr>
            <w:pStyle w:val="TOC1"/>
            <w:tabs>
              <w:tab w:val="left" w:pos="630"/>
            </w:tabs>
            <w:rPr>
              <w:rFonts w:asciiTheme="minorHAnsi" w:eastAsiaTheme="minorEastAsia" w:hAnsiTheme="minorHAnsi" w:cstheme="minorBidi"/>
              <w:b w:val="0"/>
              <w:color w:val="auto"/>
              <w:sz w:val="22"/>
              <w:szCs w:val="22"/>
            </w:rPr>
          </w:pPr>
          <w:hyperlink w:anchor="_Toc107325280" w:history="1">
            <w:r w:rsidR="00F6719E" w:rsidRPr="008B7E69">
              <w:rPr>
                <w:rStyle w:val="Hyperlink"/>
                <w14:scene3d>
                  <w14:camera w14:prst="orthographicFront"/>
                  <w14:lightRig w14:rig="threePt" w14:dir="t">
                    <w14:rot w14:lat="0" w14:lon="0" w14:rev="0"/>
                  </w14:lightRig>
                </w14:scene3d>
              </w:rPr>
              <w:t>3.3</w:t>
            </w:r>
            <w:r w:rsidR="00F6719E">
              <w:rPr>
                <w:rFonts w:asciiTheme="minorHAnsi" w:eastAsiaTheme="minorEastAsia" w:hAnsiTheme="minorHAnsi" w:cstheme="minorBidi"/>
                <w:b w:val="0"/>
                <w:color w:val="auto"/>
                <w:sz w:val="22"/>
                <w:szCs w:val="22"/>
              </w:rPr>
              <w:tab/>
            </w:r>
            <w:r w:rsidR="00F6719E" w:rsidRPr="008B7E69">
              <w:rPr>
                <w:rStyle w:val="Hyperlink"/>
              </w:rPr>
              <w:t>Early and effective support from GSA to Agencies</w:t>
            </w:r>
            <w:r w:rsidR="00F6719E">
              <w:rPr>
                <w:webHidden/>
              </w:rPr>
              <w:tab/>
            </w:r>
            <w:r w:rsidR="00F6719E">
              <w:rPr>
                <w:webHidden/>
              </w:rPr>
              <w:fldChar w:fldCharType="begin"/>
            </w:r>
            <w:r w:rsidR="00F6719E">
              <w:rPr>
                <w:webHidden/>
              </w:rPr>
              <w:instrText xml:space="preserve"> PAGEREF _Toc107325280 \h </w:instrText>
            </w:r>
            <w:r w:rsidR="00F6719E">
              <w:rPr>
                <w:webHidden/>
              </w:rPr>
            </w:r>
            <w:r w:rsidR="00F6719E">
              <w:rPr>
                <w:webHidden/>
              </w:rPr>
              <w:fldChar w:fldCharType="separate"/>
            </w:r>
            <w:r w:rsidR="00F6719E">
              <w:rPr>
                <w:webHidden/>
              </w:rPr>
              <w:t>3</w:t>
            </w:r>
            <w:r w:rsidR="00F6719E">
              <w:rPr>
                <w:webHidden/>
              </w:rPr>
              <w:fldChar w:fldCharType="end"/>
            </w:r>
          </w:hyperlink>
        </w:p>
        <w:p w14:paraId="515F6831" w14:textId="5F0DC4C1" w:rsidR="00F6719E" w:rsidRDefault="00721599">
          <w:pPr>
            <w:pStyle w:val="TOC1"/>
            <w:tabs>
              <w:tab w:val="left" w:pos="630"/>
            </w:tabs>
            <w:rPr>
              <w:rFonts w:asciiTheme="minorHAnsi" w:eastAsiaTheme="minorEastAsia" w:hAnsiTheme="minorHAnsi" w:cstheme="minorBidi"/>
              <w:b w:val="0"/>
              <w:color w:val="auto"/>
              <w:sz w:val="22"/>
              <w:szCs w:val="22"/>
            </w:rPr>
          </w:pPr>
          <w:hyperlink w:anchor="_Toc107325281" w:history="1">
            <w:r w:rsidR="00F6719E" w:rsidRPr="008B7E69">
              <w:rPr>
                <w:rStyle w:val="Hyperlink"/>
                <w14:scene3d>
                  <w14:camera w14:prst="orthographicFront"/>
                  <w14:lightRig w14:rig="threePt" w14:dir="t">
                    <w14:rot w14:lat="0" w14:lon="0" w14:rev="0"/>
                  </w14:lightRig>
                </w14:scene3d>
              </w:rPr>
              <w:t>3.4</w:t>
            </w:r>
            <w:r w:rsidR="00F6719E">
              <w:rPr>
                <w:rFonts w:asciiTheme="minorHAnsi" w:eastAsiaTheme="minorEastAsia" w:hAnsiTheme="minorHAnsi" w:cstheme="minorBidi"/>
                <w:b w:val="0"/>
                <w:color w:val="auto"/>
                <w:sz w:val="22"/>
                <w:szCs w:val="22"/>
              </w:rPr>
              <w:tab/>
            </w:r>
            <w:r w:rsidR="00F6719E" w:rsidRPr="008B7E69">
              <w:rPr>
                <w:rStyle w:val="Hyperlink"/>
              </w:rPr>
              <w:t>Phased, orderly approach</w:t>
            </w:r>
            <w:r w:rsidR="00F6719E">
              <w:rPr>
                <w:webHidden/>
              </w:rPr>
              <w:tab/>
            </w:r>
            <w:r w:rsidR="00F6719E">
              <w:rPr>
                <w:webHidden/>
              </w:rPr>
              <w:fldChar w:fldCharType="begin"/>
            </w:r>
            <w:r w:rsidR="00F6719E">
              <w:rPr>
                <w:webHidden/>
              </w:rPr>
              <w:instrText xml:space="preserve"> PAGEREF _Toc107325281 \h </w:instrText>
            </w:r>
            <w:r w:rsidR="00F6719E">
              <w:rPr>
                <w:webHidden/>
              </w:rPr>
            </w:r>
            <w:r w:rsidR="00F6719E">
              <w:rPr>
                <w:webHidden/>
              </w:rPr>
              <w:fldChar w:fldCharType="separate"/>
            </w:r>
            <w:r w:rsidR="00F6719E">
              <w:rPr>
                <w:webHidden/>
              </w:rPr>
              <w:t>3</w:t>
            </w:r>
            <w:r w:rsidR="00F6719E">
              <w:rPr>
                <w:webHidden/>
              </w:rPr>
              <w:fldChar w:fldCharType="end"/>
            </w:r>
          </w:hyperlink>
        </w:p>
        <w:p w14:paraId="542D0D46" w14:textId="78E7727C" w:rsidR="00F6719E" w:rsidRDefault="00721599">
          <w:pPr>
            <w:pStyle w:val="TOC1"/>
            <w:tabs>
              <w:tab w:val="left" w:pos="630"/>
            </w:tabs>
            <w:rPr>
              <w:rFonts w:asciiTheme="minorHAnsi" w:eastAsiaTheme="minorEastAsia" w:hAnsiTheme="minorHAnsi" w:cstheme="minorBidi"/>
              <w:b w:val="0"/>
              <w:color w:val="auto"/>
              <w:sz w:val="22"/>
              <w:szCs w:val="22"/>
            </w:rPr>
          </w:pPr>
          <w:hyperlink w:anchor="_Toc107325282" w:history="1">
            <w:r w:rsidR="00F6719E" w:rsidRPr="008B7E69">
              <w:rPr>
                <w:rStyle w:val="Hyperlink"/>
                <w14:scene3d>
                  <w14:camera w14:prst="orthographicFront"/>
                  <w14:lightRig w14:rig="threePt" w14:dir="t">
                    <w14:rot w14:lat="0" w14:lon="0" w14:rev="0"/>
                  </w14:lightRig>
                </w14:scene3d>
              </w:rPr>
              <w:t>3.5</w:t>
            </w:r>
            <w:r w:rsidR="00F6719E">
              <w:rPr>
                <w:rFonts w:asciiTheme="minorHAnsi" w:eastAsiaTheme="minorEastAsia" w:hAnsiTheme="minorHAnsi" w:cstheme="minorBidi"/>
                <w:b w:val="0"/>
                <w:color w:val="auto"/>
                <w:sz w:val="22"/>
                <w:szCs w:val="22"/>
              </w:rPr>
              <w:tab/>
            </w:r>
            <w:r w:rsidR="00F6719E" w:rsidRPr="008B7E69">
              <w:rPr>
                <w:rStyle w:val="Hyperlink"/>
              </w:rPr>
              <w:t>Transparency and meaningful reporting</w:t>
            </w:r>
            <w:r w:rsidR="00F6719E">
              <w:rPr>
                <w:webHidden/>
              </w:rPr>
              <w:tab/>
            </w:r>
            <w:r w:rsidR="00F6719E">
              <w:rPr>
                <w:webHidden/>
              </w:rPr>
              <w:fldChar w:fldCharType="begin"/>
            </w:r>
            <w:r w:rsidR="00F6719E">
              <w:rPr>
                <w:webHidden/>
              </w:rPr>
              <w:instrText xml:space="preserve"> PAGEREF _Toc107325282 \h </w:instrText>
            </w:r>
            <w:r w:rsidR="00F6719E">
              <w:rPr>
                <w:webHidden/>
              </w:rPr>
            </w:r>
            <w:r w:rsidR="00F6719E">
              <w:rPr>
                <w:webHidden/>
              </w:rPr>
              <w:fldChar w:fldCharType="separate"/>
            </w:r>
            <w:r w:rsidR="00F6719E">
              <w:rPr>
                <w:webHidden/>
              </w:rPr>
              <w:t>3</w:t>
            </w:r>
            <w:r w:rsidR="00F6719E">
              <w:rPr>
                <w:webHidden/>
              </w:rPr>
              <w:fldChar w:fldCharType="end"/>
            </w:r>
          </w:hyperlink>
        </w:p>
        <w:p w14:paraId="5F630F5E" w14:textId="28AF19D4" w:rsidR="00F6719E" w:rsidRDefault="00721599">
          <w:pPr>
            <w:pStyle w:val="TOC1"/>
            <w:rPr>
              <w:rFonts w:asciiTheme="minorHAnsi" w:eastAsiaTheme="minorEastAsia" w:hAnsiTheme="minorHAnsi" w:cstheme="minorBidi"/>
              <w:b w:val="0"/>
              <w:color w:val="auto"/>
              <w:sz w:val="22"/>
              <w:szCs w:val="22"/>
            </w:rPr>
          </w:pPr>
          <w:hyperlink w:anchor="_Toc107325283" w:history="1">
            <w:r w:rsidR="00F6719E" w:rsidRPr="008B7E69">
              <w:rPr>
                <w:rStyle w:val="Hyperlink"/>
                <w14:scene3d>
                  <w14:camera w14:prst="orthographicFront"/>
                  <w14:lightRig w14:rig="threePt" w14:dir="t">
                    <w14:rot w14:lat="0" w14:lon="0" w14:rev="0"/>
                  </w14:lightRig>
                </w14:scene3d>
              </w:rPr>
              <w:t>4</w:t>
            </w:r>
            <w:r w:rsidR="00F6719E">
              <w:rPr>
                <w:rFonts w:asciiTheme="minorHAnsi" w:eastAsiaTheme="minorEastAsia" w:hAnsiTheme="minorHAnsi" w:cstheme="minorBidi"/>
                <w:b w:val="0"/>
                <w:color w:val="auto"/>
                <w:sz w:val="22"/>
                <w:szCs w:val="22"/>
              </w:rPr>
              <w:tab/>
            </w:r>
            <w:r w:rsidR="00F6719E" w:rsidRPr="008B7E69">
              <w:rPr>
                <w:rStyle w:val="Hyperlink"/>
              </w:rPr>
              <w:t>Transition Overview</w:t>
            </w:r>
            <w:r w:rsidR="00F6719E">
              <w:rPr>
                <w:webHidden/>
              </w:rPr>
              <w:tab/>
            </w:r>
            <w:r w:rsidR="00F6719E">
              <w:rPr>
                <w:webHidden/>
              </w:rPr>
              <w:fldChar w:fldCharType="begin"/>
            </w:r>
            <w:r w:rsidR="00F6719E">
              <w:rPr>
                <w:webHidden/>
              </w:rPr>
              <w:instrText xml:space="preserve"> PAGEREF _Toc107325283 \h </w:instrText>
            </w:r>
            <w:r w:rsidR="00F6719E">
              <w:rPr>
                <w:webHidden/>
              </w:rPr>
            </w:r>
            <w:r w:rsidR="00F6719E">
              <w:rPr>
                <w:webHidden/>
              </w:rPr>
              <w:fldChar w:fldCharType="separate"/>
            </w:r>
            <w:r w:rsidR="00F6719E">
              <w:rPr>
                <w:webHidden/>
              </w:rPr>
              <w:t>3</w:t>
            </w:r>
            <w:r w:rsidR="00F6719E">
              <w:rPr>
                <w:webHidden/>
              </w:rPr>
              <w:fldChar w:fldCharType="end"/>
            </w:r>
          </w:hyperlink>
        </w:p>
        <w:p w14:paraId="76517A4A" w14:textId="5E39ABFB" w:rsidR="00F6719E" w:rsidRDefault="00721599">
          <w:pPr>
            <w:pStyle w:val="TOC1"/>
            <w:tabs>
              <w:tab w:val="left" w:pos="630"/>
            </w:tabs>
            <w:rPr>
              <w:rFonts w:asciiTheme="minorHAnsi" w:eastAsiaTheme="minorEastAsia" w:hAnsiTheme="minorHAnsi" w:cstheme="minorBidi"/>
              <w:b w:val="0"/>
              <w:color w:val="auto"/>
              <w:sz w:val="22"/>
              <w:szCs w:val="22"/>
            </w:rPr>
          </w:pPr>
          <w:hyperlink w:anchor="_Toc107325284" w:history="1">
            <w:r w:rsidR="00F6719E" w:rsidRPr="008B7E69">
              <w:rPr>
                <w:rStyle w:val="Hyperlink"/>
                <w14:scene3d>
                  <w14:camera w14:prst="orthographicFront"/>
                  <w14:lightRig w14:rig="threePt" w14:dir="t">
                    <w14:rot w14:lat="0" w14:lon="0" w14:rev="0"/>
                  </w14:lightRig>
                </w14:scene3d>
              </w:rPr>
              <w:t>4.1</w:t>
            </w:r>
            <w:r w:rsidR="00F6719E">
              <w:rPr>
                <w:rFonts w:asciiTheme="minorHAnsi" w:eastAsiaTheme="minorEastAsia" w:hAnsiTheme="minorHAnsi" w:cstheme="minorBidi"/>
                <w:b w:val="0"/>
                <w:color w:val="auto"/>
                <w:sz w:val="22"/>
                <w:szCs w:val="22"/>
              </w:rPr>
              <w:tab/>
            </w:r>
            <w:r w:rsidR="00F6719E" w:rsidRPr="008B7E69">
              <w:rPr>
                <w:rStyle w:val="Hyperlink"/>
              </w:rPr>
              <w:t>Transition Approach</w:t>
            </w:r>
            <w:r w:rsidR="00F6719E">
              <w:rPr>
                <w:webHidden/>
              </w:rPr>
              <w:tab/>
            </w:r>
            <w:r w:rsidR="00F6719E">
              <w:rPr>
                <w:webHidden/>
              </w:rPr>
              <w:fldChar w:fldCharType="begin"/>
            </w:r>
            <w:r w:rsidR="00F6719E">
              <w:rPr>
                <w:webHidden/>
              </w:rPr>
              <w:instrText xml:space="preserve"> PAGEREF _Toc107325284 \h </w:instrText>
            </w:r>
            <w:r w:rsidR="00F6719E">
              <w:rPr>
                <w:webHidden/>
              </w:rPr>
            </w:r>
            <w:r w:rsidR="00F6719E">
              <w:rPr>
                <w:webHidden/>
              </w:rPr>
              <w:fldChar w:fldCharType="separate"/>
            </w:r>
            <w:r w:rsidR="00F6719E">
              <w:rPr>
                <w:webHidden/>
              </w:rPr>
              <w:t>4</w:t>
            </w:r>
            <w:r w:rsidR="00F6719E">
              <w:rPr>
                <w:webHidden/>
              </w:rPr>
              <w:fldChar w:fldCharType="end"/>
            </w:r>
          </w:hyperlink>
        </w:p>
        <w:p w14:paraId="2ECD4D5D" w14:textId="5CE223A3" w:rsidR="00F6719E" w:rsidRDefault="00721599">
          <w:pPr>
            <w:pStyle w:val="TOC1"/>
            <w:tabs>
              <w:tab w:val="left" w:pos="630"/>
            </w:tabs>
            <w:rPr>
              <w:rFonts w:asciiTheme="minorHAnsi" w:eastAsiaTheme="minorEastAsia" w:hAnsiTheme="minorHAnsi" w:cstheme="minorBidi"/>
              <w:b w:val="0"/>
              <w:color w:val="auto"/>
              <w:sz w:val="22"/>
              <w:szCs w:val="22"/>
            </w:rPr>
          </w:pPr>
          <w:hyperlink w:anchor="_Toc107325285" w:history="1">
            <w:r w:rsidR="00F6719E" w:rsidRPr="008B7E69">
              <w:rPr>
                <w:rStyle w:val="Hyperlink"/>
                <w14:scene3d>
                  <w14:camera w14:prst="orthographicFront"/>
                  <w14:lightRig w14:rig="threePt" w14:dir="t">
                    <w14:rot w14:lat="0" w14:lon="0" w14:rev="0"/>
                  </w14:lightRig>
                </w14:scene3d>
              </w:rPr>
              <w:t>4.2</w:t>
            </w:r>
            <w:r w:rsidR="00F6719E">
              <w:rPr>
                <w:rFonts w:asciiTheme="minorHAnsi" w:eastAsiaTheme="minorEastAsia" w:hAnsiTheme="minorHAnsi" w:cstheme="minorBidi"/>
                <w:b w:val="0"/>
                <w:color w:val="auto"/>
                <w:sz w:val="22"/>
                <w:szCs w:val="22"/>
              </w:rPr>
              <w:tab/>
            </w:r>
            <w:r w:rsidR="00F6719E" w:rsidRPr="008B7E69">
              <w:rPr>
                <w:rStyle w:val="Hyperlink"/>
              </w:rPr>
              <w:t>Transition Sequence of events</w:t>
            </w:r>
            <w:r w:rsidR="00F6719E">
              <w:rPr>
                <w:webHidden/>
              </w:rPr>
              <w:tab/>
            </w:r>
            <w:r w:rsidR="00F6719E">
              <w:rPr>
                <w:webHidden/>
              </w:rPr>
              <w:fldChar w:fldCharType="begin"/>
            </w:r>
            <w:r w:rsidR="00F6719E">
              <w:rPr>
                <w:webHidden/>
              </w:rPr>
              <w:instrText xml:space="preserve"> PAGEREF _Toc107325285 \h </w:instrText>
            </w:r>
            <w:r w:rsidR="00F6719E">
              <w:rPr>
                <w:webHidden/>
              </w:rPr>
            </w:r>
            <w:r w:rsidR="00F6719E">
              <w:rPr>
                <w:webHidden/>
              </w:rPr>
              <w:fldChar w:fldCharType="separate"/>
            </w:r>
            <w:r w:rsidR="00F6719E">
              <w:rPr>
                <w:webHidden/>
              </w:rPr>
              <w:t>5</w:t>
            </w:r>
            <w:r w:rsidR="00F6719E">
              <w:rPr>
                <w:webHidden/>
              </w:rPr>
              <w:fldChar w:fldCharType="end"/>
            </w:r>
          </w:hyperlink>
        </w:p>
        <w:p w14:paraId="151DB298" w14:textId="3468F0BE" w:rsidR="00F6719E" w:rsidRDefault="00721599">
          <w:pPr>
            <w:pStyle w:val="TOC1"/>
            <w:rPr>
              <w:rFonts w:asciiTheme="minorHAnsi" w:eastAsiaTheme="minorEastAsia" w:hAnsiTheme="minorHAnsi" w:cstheme="minorBidi"/>
              <w:b w:val="0"/>
              <w:color w:val="auto"/>
              <w:sz w:val="22"/>
              <w:szCs w:val="22"/>
            </w:rPr>
          </w:pPr>
          <w:hyperlink w:anchor="_Toc107325286" w:history="1">
            <w:r w:rsidR="00F6719E" w:rsidRPr="008B7E69">
              <w:rPr>
                <w:rStyle w:val="Hyperlink"/>
                <w14:scene3d>
                  <w14:camera w14:prst="orthographicFront"/>
                  <w14:lightRig w14:rig="threePt" w14:dir="t">
                    <w14:rot w14:lat="0" w14:lon="0" w14:rev="0"/>
                  </w14:lightRig>
                </w14:scene3d>
              </w:rPr>
              <w:t>5</w:t>
            </w:r>
            <w:r w:rsidR="00F6719E">
              <w:rPr>
                <w:rFonts w:asciiTheme="minorHAnsi" w:eastAsiaTheme="minorEastAsia" w:hAnsiTheme="minorHAnsi" w:cstheme="minorBidi"/>
                <w:b w:val="0"/>
                <w:color w:val="auto"/>
                <w:sz w:val="22"/>
                <w:szCs w:val="22"/>
              </w:rPr>
              <w:tab/>
            </w:r>
            <w:r w:rsidR="00F6719E" w:rsidRPr="008B7E69">
              <w:rPr>
                <w:rStyle w:val="Hyperlink"/>
              </w:rPr>
              <w:t>Roles and Responsibilities</w:t>
            </w:r>
            <w:r w:rsidR="00F6719E">
              <w:rPr>
                <w:webHidden/>
              </w:rPr>
              <w:tab/>
            </w:r>
            <w:r w:rsidR="00F6719E">
              <w:rPr>
                <w:webHidden/>
              </w:rPr>
              <w:fldChar w:fldCharType="begin"/>
            </w:r>
            <w:r w:rsidR="00F6719E">
              <w:rPr>
                <w:webHidden/>
              </w:rPr>
              <w:instrText xml:space="preserve"> PAGEREF _Toc107325286 \h </w:instrText>
            </w:r>
            <w:r w:rsidR="00F6719E">
              <w:rPr>
                <w:webHidden/>
              </w:rPr>
            </w:r>
            <w:r w:rsidR="00F6719E">
              <w:rPr>
                <w:webHidden/>
              </w:rPr>
              <w:fldChar w:fldCharType="separate"/>
            </w:r>
            <w:r w:rsidR="00F6719E">
              <w:rPr>
                <w:webHidden/>
              </w:rPr>
              <w:t>6</w:t>
            </w:r>
            <w:r w:rsidR="00F6719E">
              <w:rPr>
                <w:webHidden/>
              </w:rPr>
              <w:fldChar w:fldCharType="end"/>
            </w:r>
          </w:hyperlink>
        </w:p>
        <w:p w14:paraId="2F592179" w14:textId="12F798FD" w:rsidR="00F6719E" w:rsidRDefault="00721599">
          <w:pPr>
            <w:pStyle w:val="TOC1"/>
            <w:tabs>
              <w:tab w:val="left" w:pos="630"/>
            </w:tabs>
            <w:rPr>
              <w:rFonts w:asciiTheme="minorHAnsi" w:eastAsiaTheme="minorEastAsia" w:hAnsiTheme="minorHAnsi" w:cstheme="minorBidi"/>
              <w:b w:val="0"/>
              <w:color w:val="auto"/>
              <w:sz w:val="22"/>
              <w:szCs w:val="22"/>
            </w:rPr>
          </w:pPr>
          <w:hyperlink w:anchor="_Toc107325287" w:history="1">
            <w:r w:rsidR="00F6719E" w:rsidRPr="008B7E69">
              <w:rPr>
                <w:rStyle w:val="Hyperlink"/>
                <w14:scene3d>
                  <w14:camera w14:prst="orthographicFront"/>
                  <w14:lightRig w14:rig="threePt" w14:dir="t">
                    <w14:rot w14:lat="0" w14:lon="0" w14:rev="0"/>
                  </w14:lightRig>
                </w14:scene3d>
              </w:rPr>
              <w:t>5.1</w:t>
            </w:r>
            <w:r w:rsidR="00F6719E">
              <w:rPr>
                <w:rFonts w:asciiTheme="minorHAnsi" w:eastAsiaTheme="minorEastAsia" w:hAnsiTheme="minorHAnsi" w:cstheme="minorBidi"/>
                <w:b w:val="0"/>
                <w:color w:val="auto"/>
                <w:sz w:val="22"/>
                <w:szCs w:val="22"/>
              </w:rPr>
              <w:tab/>
            </w:r>
            <w:r w:rsidR="00F6719E" w:rsidRPr="008B7E69">
              <w:rPr>
                <w:rStyle w:val="Hyperlink"/>
              </w:rPr>
              <w:t>Agency Transition Sponsor</w:t>
            </w:r>
            <w:r w:rsidR="00F6719E">
              <w:rPr>
                <w:webHidden/>
              </w:rPr>
              <w:tab/>
            </w:r>
            <w:r w:rsidR="00F6719E">
              <w:rPr>
                <w:webHidden/>
              </w:rPr>
              <w:fldChar w:fldCharType="begin"/>
            </w:r>
            <w:r w:rsidR="00F6719E">
              <w:rPr>
                <w:webHidden/>
              </w:rPr>
              <w:instrText xml:space="preserve"> PAGEREF _Toc107325287 \h </w:instrText>
            </w:r>
            <w:r w:rsidR="00F6719E">
              <w:rPr>
                <w:webHidden/>
              </w:rPr>
            </w:r>
            <w:r w:rsidR="00F6719E">
              <w:rPr>
                <w:webHidden/>
              </w:rPr>
              <w:fldChar w:fldCharType="separate"/>
            </w:r>
            <w:r w:rsidR="00F6719E">
              <w:rPr>
                <w:webHidden/>
              </w:rPr>
              <w:t>6</w:t>
            </w:r>
            <w:r w:rsidR="00F6719E">
              <w:rPr>
                <w:webHidden/>
              </w:rPr>
              <w:fldChar w:fldCharType="end"/>
            </w:r>
          </w:hyperlink>
        </w:p>
        <w:p w14:paraId="0965F7E7" w14:textId="2267113A" w:rsidR="00F6719E" w:rsidRDefault="00721599">
          <w:pPr>
            <w:pStyle w:val="TOC1"/>
            <w:tabs>
              <w:tab w:val="left" w:pos="630"/>
            </w:tabs>
            <w:rPr>
              <w:rFonts w:asciiTheme="minorHAnsi" w:eastAsiaTheme="minorEastAsia" w:hAnsiTheme="minorHAnsi" w:cstheme="minorBidi"/>
              <w:b w:val="0"/>
              <w:color w:val="auto"/>
              <w:sz w:val="22"/>
              <w:szCs w:val="22"/>
            </w:rPr>
          </w:pPr>
          <w:hyperlink w:anchor="_Toc107325288" w:history="1">
            <w:r w:rsidR="00F6719E" w:rsidRPr="008B7E69">
              <w:rPr>
                <w:rStyle w:val="Hyperlink"/>
                <w14:scene3d>
                  <w14:camera w14:prst="orthographicFront"/>
                  <w14:lightRig w14:rig="threePt" w14:dir="t">
                    <w14:rot w14:lat="0" w14:lon="0" w14:rev="0"/>
                  </w14:lightRig>
                </w14:scene3d>
              </w:rPr>
              <w:t>5.2</w:t>
            </w:r>
            <w:r w:rsidR="00F6719E">
              <w:rPr>
                <w:rFonts w:asciiTheme="minorHAnsi" w:eastAsiaTheme="minorEastAsia" w:hAnsiTheme="minorHAnsi" w:cstheme="minorBidi"/>
                <w:b w:val="0"/>
                <w:color w:val="auto"/>
                <w:sz w:val="22"/>
                <w:szCs w:val="22"/>
              </w:rPr>
              <w:tab/>
            </w:r>
            <w:r w:rsidR="00F6719E" w:rsidRPr="008B7E69">
              <w:rPr>
                <w:rStyle w:val="Hyperlink"/>
              </w:rPr>
              <w:t>Agency Transition Managers</w:t>
            </w:r>
            <w:r w:rsidR="00F6719E">
              <w:rPr>
                <w:webHidden/>
              </w:rPr>
              <w:tab/>
            </w:r>
            <w:r w:rsidR="00F6719E">
              <w:rPr>
                <w:webHidden/>
              </w:rPr>
              <w:fldChar w:fldCharType="begin"/>
            </w:r>
            <w:r w:rsidR="00F6719E">
              <w:rPr>
                <w:webHidden/>
              </w:rPr>
              <w:instrText xml:space="preserve"> PAGEREF _Toc107325288 \h </w:instrText>
            </w:r>
            <w:r w:rsidR="00F6719E">
              <w:rPr>
                <w:webHidden/>
              </w:rPr>
            </w:r>
            <w:r w:rsidR="00F6719E">
              <w:rPr>
                <w:webHidden/>
              </w:rPr>
              <w:fldChar w:fldCharType="separate"/>
            </w:r>
            <w:r w:rsidR="00F6719E">
              <w:rPr>
                <w:webHidden/>
              </w:rPr>
              <w:t>7</w:t>
            </w:r>
            <w:r w:rsidR="00F6719E">
              <w:rPr>
                <w:webHidden/>
              </w:rPr>
              <w:fldChar w:fldCharType="end"/>
            </w:r>
          </w:hyperlink>
        </w:p>
        <w:p w14:paraId="27E3FD56" w14:textId="2A12D4B5" w:rsidR="00F6719E" w:rsidRDefault="00721599">
          <w:pPr>
            <w:pStyle w:val="TOC1"/>
            <w:tabs>
              <w:tab w:val="left" w:pos="630"/>
            </w:tabs>
            <w:rPr>
              <w:rFonts w:asciiTheme="minorHAnsi" w:eastAsiaTheme="minorEastAsia" w:hAnsiTheme="minorHAnsi" w:cstheme="minorBidi"/>
              <w:b w:val="0"/>
              <w:color w:val="auto"/>
              <w:sz w:val="22"/>
              <w:szCs w:val="22"/>
            </w:rPr>
          </w:pPr>
          <w:hyperlink w:anchor="_Toc107325289" w:history="1">
            <w:r w:rsidR="00F6719E" w:rsidRPr="008B7E69">
              <w:rPr>
                <w:rStyle w:val="Hyperlink"/>
                <w14:scene3d>
                  <w14:camera w14:prst="orthographicFront"/>
                  <w14:lightRig w14:rig="threePt" w14:dir="t">
                    <w14:rot w14:lat="0" w14:lon="0" w14:rev="0"/>
                  </w14:lightRig>
                </w14:scene3d>
              </w:rPr>
              <w:t>5.3</w:t>
            </w:r>
            <w:r w:rsidR="00F6719E">
              <w:rPr>
                <w:rFonts w:asciiTheme="minorHAnsi" w:eastAsiaTheme="minorEastAsia" w:hAnsiTheme="minorHAnsi" w:cstheme="minorBidi"/>
                <w:b w:val="0"/>
                <w:color w:val="auto"/>
                <w:sz w:val="22"/>
                <w:szCs w:val="22"/>
              </w:rPr>
              <w:tab/>
            </w:r>
            <w:r w:rsidR="00F6719E" w:rsidRPr="008B7E69">
              <w:rPr>
                <w:rStyle w:val="Hyperlink"/>
              </w:rPr>
              <w:t>Ordering Contracting Officers</w:t>
            </w:r>
            <w:r w:rsidR="00F6719E">
              <w:rPr>
                <w:webHidden/>
              </w:rPr>
              <w:tab/>
            </w:r>
            <w:r w:rsidR="00F6719E">
              <w:rPr>
                <w:webHidden/>
              </w:rPr>
              <w:fldChar w:fldCharType="begin"/>
            </w:r>
            <w:r w:rsidR="00F6719E">
              <w:rPr>
                <w:webHidden/>
              </w:rPr>
              <w:instrText xml:space="preserve"> PAGEREF _Toc107325289 \h </w:instrText>
            </w:r>
            <w:r w:rsidR="00F6719E">
              <w:rPr>
                <w:webHidden/>
              </w:rPr>
            </w:r>
            <w:r w:rsidR="00F6719E">
              <w:rPr>
                <w:webHidden/>
              </w:rPr>
              <w:fldChar w:fldCharType="separate"/>
            </w:r>
            <w:r w:rsidR="00F6719E">
              <w:rPr>
                <w:webHidden/>
              </w:rPr>
              <w:t>8</w:t>
            </w:r>
            <w:r w:rsidR="00F6719E">
              <w:rPr>
                <w:webHidden/>
              </w:rPr>
              <w:fldChar w:fldCharType="end"/>
            </w:r>
          </w:hyperlink>
        </w:p>
        <w:p w14:paraId="707A8A5B" w14:textId="3A973190" w:rsidR="00F6719E" w:rsidRDefault="00721599">
          <w:pPr>
            <w:pStyle w:val="TOC1"/>
            <w:tabs>
              <w:tab w:val="left" w:pos="630"/>
            </w:tabs>
            <w:rPr>
              <w:rFonts w:asciiTheme="minorHAnsi" w:eastAsiaTheme="minorEastAsia" w:hAnsiTheme="minorHAnsi" w:cstheme="minorBidi"/>
              <w:b w:val="0"/>
              <w:color w:val="auto"/>
              <w:sz w:val="22"/>
              <w:szCs w:val="22"/>
            </w:rPr>
          </w:pPr>
          <w:hyperlink w:anchor="_Toc107325290" w:history="1">
            <w:r w:rsidR="00F6719E" w:rsidRPr="008B7E69">
              <w:rPr>
                <w:rStyle w:val="Hyperlink"/>
                <w14:scene3d>
                  <w14:camera w14:prst="orthographicFront"/>
                  <w14:lightRig w14:rig="threePt" w14:dir="t">
                    <w14:rot w14:lat="0" w14:lon="0" w14:rev="0"/>
                  </w14:lightRig>
                </w14:scene3d>
              </w:rPr>
              <w:t>5.4</w:t>
            </w:r>
            <w:r w:rsidR="00F6719E">
              <w:rPr>
                <w:rFonts w:asciiTheme="minorHAnsi" w:eastAsiaTheme="minorEastAsia" w:hAnsiTheme="minorHAnsi" w:cstheme="minorBidi"/>
                <w:b w:val="0"/>
                <w:color w:val="auto"/>
                <w:sz w:val="22"/>
                <w:szCs w:val="22"/>
              </w:rPr>
              <w:tab/>
            </w:r>
            <w:r w:rsidR="00F6719E" w:rsidRPr="008B7E69">
              <w:rPr>
                <w:rStyle w:val="Hyperlink"/>
              </w:rPr>
              <w:t>GSA Full Service (Regional Local Services)</w:t>
            </w:r>
            <w:r w:rsidR="00F6719E">
              <w:rPr>
                <w:webHidden/>
              </w:rPr>
              <w:tab/>
            </w:r>
            <w:r w:rsidR="00F6719E">
              <w:rPr>
                <w:webHidden/>
              </w:rPr>
              <w:fldChar w:fldCharType="begin"/>
            </w:r>
            <w:r w:rsidR="00F6719E">
              <w:rPr>
                <w:webHidden/>
              </w:rPr>
              <w:instrText xml:space="preserve"> PAGEREF _Toc107325290 \h </w:instrText>
            </w:r>
            <w:r w:rsidR="00F6719E">
              <w:rPr>
                <w:webHidden/>
              </w:rPr>
            </w:r>
            <w:r w:rsidR="00F6719E">
              <w:rPr>
                <w:webHidden/>
              </w:rPr>
              <w:fldChar w:fldCharType="separate"/>
            </w:r>
            <w:r w:rsidR="00F6719E">
              <w:rPr>
                <w:webHidden/>
              </w:rPr>
              <w:t>8</w:t>
            </w:r>
            <w:r w:rsidR="00F6719E">
              <w:rPr>
                <w:webHidden/>
              </w:rPr>
              <w:fldChar w:fldCharType="end"/>
            </w:r>
          </w:hyperlink>
        </w:p>
        <w:p w14:paraId="281AB527" w14:textId="470735DA" w:rsidR="00F6719E" w:rsidRDefault="00721599">
          <w:pPr>
            <w:pStyle w:val="TOC1"/>
            <w:rPr>
              <w:rFonts w:asciiTheme="minorHAnsi" w:eastAsiaTheme="minorEastAsia" w:hAnsiTheme="minorHAnsi" w:cstheme="minorBidi"/>
              <w:b w:val="0"/>
              <w:color w:val="auto"/>
              <w:sz w:val="22"/>
              <w:szCs w:val="22"/>
            </w:rPr>
          </w:pPr>
          <w:hyperlink w:anchor="_Toc107325291" w:history="1">
            <w:r w:rsidR="00F6719E" w:rsidRPr="008B7E69">
              <w:rPr>
                <w:rStyle w:val="Hyperlink"/>
                <w14:scene3d>
                  <w14:camera w14:prst="orthographicFront"/>
                  <w14:lightRig w14:rig="threePt" w14:dir="t">
                    <w14:rot w14:lat="0" w14:lon="0" w14:rev="0"/>
                  </w14:lightRig>
                </w14:scene3d>
              </w:rPr>
              <w:t>6</w:t>
            </w:r>
            <w:r w:rsidR="00F6719E">
              <w:rPr>
                <w:rFonts w:asciiTheme="minorHAnsi" w:eastAsiaTheme="minorEastAsia" w:hAnsiTheme="minorHAnsi" w:cstheme="minorBidi"/>
                <w:b w:val="0"/>
                <w:color w:val="auto"/>
                <w:sz w:val="22"/>
                <w:szCs w:val="22"/>
              </w:rPr>
              <w:tab/>
            </w:r>
            <w:r w:rsidR="00F6719E" w:rsidRPr="008B7E69">
              <w:rPr>
                <w:rStyle w:val="Hyperlink"/>
              </w:rPr>
              <w:t>Lessons Learned from Previous Transitions</w:t>
            </w:r>
            <w:r w:rsidR="00F6719E">
              <w:rPr>
                <w:webHidden/>
              </w:rPr>
              <w:tab/>
            </w:r>
            <w:r w:rsidR="00F6719E">
              <w:rPr>
                <w:webHidden/>
              </w:rPr>
              <w:fldChar w:fldCharType="begin"/>
            </w:r>
            <w:r w:rsidR="00F6719E">
              <w:rPr>
                <w:webHidden/>
              </w:rPr>
              <w:instrText xml:space="preserve"> PAGEREF _Toc107325291 \h </w:instrText>
            </w:r>
            <w:r w:rsidR="00F6719E">
              <w:rPr>
                <w:webHidden/>
              </w:rPr>
            </w:r>
            <w:r w:rsidR="00F6719E">
              <w:rPr>
                <w:webHidden/>
              </w:rPr>
              <w:fldChar w:fldCharType="separate"/>
            </w:r>
            <w:r w:rsidR="00F6719E">
              <w:rPr>
                <w:webHidden/>
              </w:rPr>
              <w:t>9</w:t>
            </w:r>
            <w:r w:rsidR="00F6719E">
              <w:rPr>
                <w:webHidden/>
              </w:rPr>
              <w:fldChar w:fldCharType="end"/>
            </w:r>
          </w:hyperlink>
        </w:p>
        <w:p w14:paraId="23A468D2" w14:textId="66B42166" w:rsidR="00F6719E" w:rsidRDefault="00721599">
          <w:pPr>
            <w:pStyle w:val="TOC1"/>
            <w:rPr>
              <w:rFonts w:asciiTheme="minorHAnsi" w:eastAsiaTheme="minorEastAsia" w:hAnsiTheme="minorHAnsi" w:cstheme="minorBidi"/>
              <w:b w:val="0"/>
              <w:color w:val="auto"/>
              <w:sz w:val="22"/>
              <w:szCs w:val="22"/>
            </w:rPr>
          </w:pPr>
          <w:hyperlink w:anchor="_Toc107325292" w:history="1">
            <w:r w:rsidR="00F6719E" w:rsidRPr="008B7E69">
              <w:rPr>
                <w:rStyle w:val="Hyperlink"/>
                <w14:scene3d>
                  <w14:camera w14:prst="orthographicFront"/>
                  <w14:lightRig w14:rig="threePt" w14:dir="t">
                    <w14:rot w14:lat="0" w14:lon="0" w14:rev="0"/>
                  </w14:lightRig>
                </w14:scene3d>
              </w:rPr>
              <w:t>7</w:t>
            </w:r>
            <w:r w:rsidR="00F6719E">
              <w:rPr>
                <w:rFonts w:asciiTheme="minorHAnsi" w:eastAsiaTheme="minorEastAsia" w:hAnsiTheme="minorHAnsi" w:cstheme="minorBidi"/>
                <w:b w:val="0"/>
                <w:color w:val="auto"/>
                <w:sz w:val="22"/>
                <w:szCs w:val="22"/>
              </w:rPr>
              <w:tab/>
            </w:r>
            <w:r w:rsidR="00F6719E" w:rsidRPr="008B7E69">
              <w:rPr>
                <w:rStyle w:val="Hyperlink"/>
              </w:rPr>
              <w:t>Transition Planning</w:t>
            </w:r>
            <w:r w:rsidR="00F6719E">
              <w:rPr>
                <w:webHidden/>
              </w:rPr>
              <w:tab/>
            </w:r>
            <w:r w:rsidR="00F6719E">
              <w:rPr>
                <w:webHidden/>
              </w:rPr>
              <w:fldChar w:fldCharType="begin"/>
            </w:r>
            <w:r w:rsidR="00F6719E">
              <w:rPr>
                <w:webHidden/>
              </w:rPr>
              <w:instrText xml:space="preserve"> PAGEREF _Toc107325292 \h </w:instrText>
            </w:r>
            <w:r w:rsidR="00F6719E">
              <w:rPr>
                <w:webHidden/>
              </w:rPr>
            </w:r>
            <w:r w:rsidR="00F6719E">
              <w:rPr>
                <w:webHidden/>
              </w:rPr>
              <w:fldChar w:fldCharType="separate"/>
            </w:r>
            <w:r w:rsidR="00F6719E">
              <w:rPr>
                <w:webHidden/>
              </w:rPr>
              <w:t>9</w:t>
            </w:r>
            <w:r w:rsidR="00F6719E">
              <w:rPr>
                <w:webHidden/>
              </w:rPr>
              <w:fldChar w:fldCharType="end"/>
            </w:r>
          </w:hyperlink>
        </w:p>
        <w:p w14:paraId="7555F6FC" w14:textId="29671673" w:rsidR="00F6719E" w:rsidRDefault="00721599">
          <w:pPr>
            <w:pStyle w:val="TOC1"/>
            <w:tabs>
              <w:tab w:val="left" w:pos="630"/>
            </w:tabs>
            <w:rPr>
              <w:rFonts w:asciiTheme="minorHAnsi" w:eastAsiaTheme="minorEastAsia" w:hAnsiTheme="minorHAnsi" w:cstheme="minorBidi"/>
              <w:b w:val="0"/>
              <w:color w:val="auto"/>
              <w:sz w:val="22"/>
              <w:szCs w:val="22"/>
            </w:rPr>
          </w:pPr>
          <w:hyperlink w:anchor="_Toc107325293" w:history="1">
            <w:r w:rsidR="00F6719E" w:rsidRPr="008B7E69">
              <w:rPr>
                <w:rStyle w:val="Hyperlink"/>
                <w14:scene3d>
                  <w14:camera w14:prst="orthographicFront"/>
                  <w14:lightRig w14:rig="threePt" w14:dir="t">
                    <w14:rot w14:lat="0" w14:lon="0" w14:rev="0"/>
                  </w14:lightRig>
                </w14:scene3d>
              </w:rPr>
              <w:t>7.1</w:t>
            </w:r>
            <w:r w:rsidR="00F6719E">
              <w:rPr>
                <w:rFonts w:asciiTheme="minorHAnsi" w:eastAsiaTheme="minorEastAsia" w:hAnsiTheme="minorHAnsi" w:cstheme="minorBidi"/>
                <w:b w:val="0"/>
                <w:color w:val="auto"/>
                <w:sz w:val="22"/>
                <w:szCs w:val="22"/>
              </w:rPr>
              <w:tab/>
            </w:r>
            <w:r w:rsidR="00F6719E" w:rsidRPr="008B7E69">
              <w:rPr>
                <w:rStyle w:val="Hyperlink"/>
              </w:rPr>
              <w:t>Identify Key Agency Personnel</w:t>
            </w:r>
            <w:r w:rsidR="00F6719E">
              <w:rPr>
                <w:webHidden/>
              </w:rPr>
              <w:tab/>
            </w:r>
            <w:r w:rsidR="00F6719E">
              <w:rPr>
                <w:webHidden/>
              </w:rPr>
              <w:fldChar w:fldCharType="begin"/>
            </w:r>
            <w:r w:rsidR="00F6719E">
              <w:rPr>
                <w:webHidden/>
              </w:rPr>
              <w:instrText xml:space="preserve"> PAGEREF _Toc107325293 \h </w:instrText>
            </w:r>
            <w:r w:rsidR="00F6719E">
              <w:rPr>
                <w:webHidden/>
              </w:rPr>
            </w:r>
            <w:r w:rsidR="00F6719E">
              <w:rPr>
                <w:webHidden/>
              </w:rPr>
              <w:fldChar w:fldCharType="separate"/>
            </w:r>
            <w:r w:rsidR="00F6719E">
              <w:rPr>
                <w:webHidden/>
              </w:rPr>
              <w:t>9</w:t>
            </w:r>
            <w:r w:rsidR="00F6719E">
              <w:rPr>
                <w:webHidden/>
              </w:rPr>
              <w:fldChar w:fldCharType="end"/>
            </w:r>
          </w:hyperlink>
        </w:p>
        <w:p w14:paraId="7DF1124F" w14:textId="6E370D42" w:rsidR="00F6719E" w:rsidRDefault="00721599">
          <w:pPr>
            <w:pStyle w:val="TOC1"/>
            <w:tabs>
              <w:tab w:val="left" w:pos="630"/>
            </w:tabs>
            <w:rPr>
              <w:rFonts w:asciiTheme="minorHAnsi" w:eastAsiaTheme="minorEastAsia" w:hAnsiTheme="minorHAnsi" w:cstheme="minorBidi"/>
              <w:b w:val="0"/>
              <w:color w:val="auto"/>
              <w:sz w:val="22"/>
              <w:szCs w:val="22"/>
            </w:rPr>
          </w:pPr>
          <w:hyperlink w:anchor="_Toc107325294" w:history="1">
            <w:r w:rsidR="00F6719E" w:rsidRPr="008B7E69">
              <w:rPr>
                <w:rStyle w:val="Hyperlink"/>
                <w14:scene3d>
                  <w14:camera w14:prst="orthographicFront"/>
                  <w14:lightRig w14:rig="threePt" w14:dir="t">
                    <w14:rot w14:lat="0" w14:lon="0" w14:rev="0"/>
                  </w14:lightRig>
                </w14:scene3d>
              </w:rPr>
              <w:t>7.2</w:t>
            </w:r>
            <w:r w:rsidR="00F6719E">
              <w:rPr>
                <w:rFonts w:asciiTheme="minorHAnsi" w:eastAsiaTheme="minorEastAsia" w:hAnsiTheme="minorHAnsi" w:cstheme="minorBidi"/>
                <w:b w:val="0"/>
                <w:color w:val="auto"/>
                <w:sz w:val="22"/>
                <w:szCs w:val="22"/>
              </w:rPr>
              <w:tab/>
            </w:r>
            <w:r w:rsidR="00F6719E" w:rsidRPr="008B7E69">
              <w:rPr>
                <w:rStyle w:val="Hyperlink"/>
              </w:rPr>
              <w:t>Confirm Inventory</w:t>
            </w:r>
            <w:r w:rsidR="00F6719E">
              <w:rPr>
                <w:webHidden/>
              </w:rPr>
              <w:tab/>
            </w:r>
            <w:r w:rsidR="00F6719E">
              <w:rPr>
                <w:webHidden/>
              </w:rPr>
              <w:fldChar w:fldCharType="begin"/>
            </w:r>
            <w:r w:rsidR="00F6719E">
              <w:rPr>
                <w:webHidden/>
              </w:rPr>
              <w:instrText xml:space="preserve"> PAGEREF _Toc107325294 \h </w:instrText>
            </w:r>
            <w:r w:rsidR="00F6719E">
              <w:rPr>
                <w:webHidden/>
              </w:rPr>
            </w:r>
            <w:r w:rsidR="00F6719E">
              <w:rPr>
                <w:webHidden/>
              </w:rPr>
              <w:fldChar w:fldCharType="separate"/>
            </w:r>
            <w:r w:rsidR="00F6719E">
              <w:rPr>
                <w:webHidden/>
              </w:rPr>
              <w:t>10</w:t>
            </w:r>
            <w:r w:rsidR="00F6719E">
              <w:rPr>
                <w:webHidden/>
              </w:rPr>
              <w:fldChar w:fldCharType="end"/>
            </w:r>
          </w:hyperlink>
        </w:p>
        <w:p w14:paraId="24586F24" w14:textId="05F8A2D6" w:rsidR="00F6719E" w:rsidRDefault="00721599">
          <w:pPr>
            <w:pStyle w:val="TOC1"/>
            <w:tabs>
              <w:tab w:val="left" w:pos="630"/>
            </w:tabs>
            <w:rPr>
              <w:rFonts w:asciiTheme="minorHAnsi" w:eastAsiaTheme="minorEastAsia" w:hAnsiTheme="minorHAnsi" w:cstheme="minorBidi"/>
              <w:b w:val="0"/>
              <w:color w:val="auto"/>
              <w:sz w:val="22"/>
              <w:szCs w:val="22"/>
            </w:rPr>
          </w:pPr>
          <w:hyperlink w:anchor="_Toc107325295" w:history="1">
            <w:r w:rsidR="00F6719E" w:rsidRPr="008B7E69">
              <w:rPr>
                <w:rStyle w:val="Hyperlink"/>
                <w14:scene3d>
                  <w14:camera w14:prst="orthographicFront"/>
                  <w14:lightRig w14:rig="threePt" w14:dir="t">
                    <w14:rot w14:lat="0" w14:lon="0" w14:rev="0"/>
                  </w14:lightRig>
                </w14:scene3d>
              </w:rPr>
              <w:t>7.3</w:t>
            </w:r>
            <w:r w:rsidR="00F6719E">
              <w:rPr>
                <w:rFonts w:asciiTheme="minorHAnsi" w:eastAsiaTheme="minorEastAsia" w:hAnsiTheme="minorHAnsi" w:cstheme="minorBidi"/>
                <w:b w:val="0"/>
                <w:color w:val="auto"/>
                <w:sz w:val="22"/>
                <w:szCs w:val="22"/>
              </w:rPr>
              <w:tab/>
            </w:r>
            <w:r w:rsidR="00F6719E" w:rsidRPr="008B7E69">
              <w:rPr>
                <w:rStyle w:val="Hyperlink"/>
              </w:rPr>
              <w:t>Define Requirements and Order Placement Process</w:t>
            </w:r>
            <w:r w:rsidR="00F6719E">
              <w:rPr>
                <w:webHidden/>
              </w:rPr>
              <w:tab/>
            </w:r>
            <w:r w:rsidR="00F6719E">
              <w:rPr>
                <w:webHidden/>
              </w:rPr>
              <w:fldChar w:fldCharType="begin"/>
            </w:r>
            <w:r w:rsidR="00F6719E">
              <w:rPr>
                <w:webHidden/>
              </w:rPr>
              <w:instrText xml:space="preserve"> PAGEREF _Toc107325295 \h </w:instrText>
            </w:r>
            <w:r w:rsidR="00F6719E">
              <w:rPr>
                <w:webHidden/>
              </w:rPr>
            </w:r>
            <w:r w:rsidR="00F6719E">
              <w:rPr>
                <w:webHidden/>
              </w:rPr>
              <w:fldChar w:fldCharType="separate"/>
            </w:r>
            <w:r w:rsidR="00F6719E">
              <w:rPr>
                <w:webHidden/>
              </w:rPr>
              <w:t>11</w:t>
            </w:r>
            <w:r w:rsidR="00F6719E">
              <w:rPr>
                <w:webHidden/>
              </w:rPr>
              <w:fldChar w:fldCharType="end"/>
            </w:r>
          </w:hyperlink>
        </w:p>
        <w:p w14:paraId="6FAC7717" w14:textId="5E9889A3" w:rsidR="00F6719E" w:rsidRDefault="00721599">
          <w:pPr>
            <w:pStyle w:val="TOC1"/>
            <w:tabs>
              <w:tab w:val="left" w:pos="630"/>
            </w:tabs>
            <w:rPr>
              <w:rFonts w:asciiTheme="minorHAnsi" w:eastAsiaTheme="minorEastAsia" w:hAnsiTheme="minorHAnsi" w:cstheme="minorBidi"/>
              <w:b w:val="0"/>
              <w:color w:val="auto"/>
              <w:sz w:val="22"/>
              <w:szCs w:val="22"/>
            </w:rPr>
          </w:pPr>
          <w:hyperlink w:anchor="_Toc107325296" w:history="1">
            <w:r w:rsidR="00F6719E" w:rsidRPr="008B7E69">
              <w:rPr>
                <w:rStyle w:val="Hyperlink"/>
                <w14:scene3d>
                  <w14:camera w14:prst="orthographicFront"/>
                  <w14:lightRig w14:rig="threePt" w14:dir="t">
                    <w14:rot w14:lat="0" w14:lon="0" w14:rev="0"/>
                  </w14:lightRig>
                </w14:scene3d>
              </w:rPr>
              <w:t>7.4</w:t>
            </w:r>
            <w:r w:rsidR="00F6719E">
              <w:rPr>
                <w:rFonts w:asciiTheme="minorHAnsi" w:eastAsiaTheme="minorEastAsia" w:hAnsiTheme="minorHAnsi" w:cstheme="minorBidi"/>
                <w:b w:val="0"/>
                <w:color w:val="auto"/>
                <w:sz w:val="22"/>
                <w:szCs w:val="22"/>
              </w:rPr>
              <w:tab/>
            </w:r>
            <w:r w:rsidR="00F6719E" w:rsidRPr="008B7E69">
              <w:rPr>
                <w:rStyle w:val="Hyperlink"/>
              </w:rPr>
              <w:t>Arrange for GSA Assistance</w:t>
            </w:r>
            <w:r w:rsidR="00F6719E">
              <w:rPr>
                <w:webHidden/>
              </w:rPr>
              <w:tab/>
            </w:r>
            <w:r w:rsidR="00F6719E">
              <w:rPr>
                <w:webHidden/>
              </w:rPr>
              <w:fldChar w:fldCharType="begin"/>
            </w:r>
            <w:r w:rsidR="00F6719E">
              <w:rPr>
                <w:webHidden/>
              </w:rPr>
              <w:instrText xml:space="preserve"> PAGEREF _Toc107325296 \h </w:instrText>
            </w:r>
            <w:r w:rsidR="00F6719E">
              <w:rPr>
                <w:webHidden/>
              </w:rPr>
            </w:r>
            <w:r w:rsidR="00F6719E">
              <w:rPr>
                <w:webHidden/>
              </w:rPr>
              <w:fldChar w:fldCharType="separate"/>
            </w:r>
            <w:r w:rsidR="00F6719E">
              <w:rPr>
                <w:webHidden/>
              </w:rPr>
              <w:t>12</w:t>
            </w:r>
            <w:r w:rsidR="00F6719E">
              <w:rPr>
                <w:webHidden/>
              </w:rPr>
              <w:fldChar w:fldCharType="end"/>
            </w:r>
          </w:hyperlink>
        </w:p>
        <w:p w14:paraId="4661A457" w14:textId="5724EE01" w:rsidR="00F6719E" w:rsidRDefault="00721599">
          <w:pPr>
            <w:pStyle w:val="TOC1"/>
            <w:tabs>
              <w:tab w:val="left" w:pos="990"/>
            </w:tabs>
            <w:rPr>
              <w:rFonts w:asciiTheme="minorHAnsi" w:eastAsiaTheme="minorEastAsia" w:hAnsiTheme="minorHAnsi" w:cstheme="minorBidi"/>
              <w:b w:val="0"/>
              <w:color w:val="auto"/>
              <w:sz w:val="22"/>
              <w:szCs w:val="22"/>
            </w:rPr>
          </w:pPr>
          <w:hyperlink w:anchor="_Toc107325297" w:history="1">
            <w:r w:rsidR="00F6719E" w:rsidRPr="008B7E69">
              <w:rPr>
                <w:rStyle w:val="Hyperlink"/>
              </w:rPr>
              <w:t>7.4.1</w:t>
            </w:r>
            <w:r w:rsidR="00F6719E">
              <w:rPr>
                <w:rFonts w:asciiTheme="minorHAnsi" w:eastAsiaTheme="minorEastAsia" w:hAnsiTheme="minorHAnsi" w:cstheme="minorBidi"/>
                <w:b w:val="0"/>
                <w:color w:val="auto"/>
                <w:sz w:val="22"/>
                <w:szCs w:val="22"/>
              </w:rPr>
              <w:tab/>
            </w:r>
            <w:r w:rsidR="00F6719E" w:rsidRPr="008B7E69">
              <w:rPr>
                <w:rStyle w:val="Hyperlink"/>
              </w:rPr>
              <w:t>GSA-Assisted Transition</w:t>
            </w:r>
            <w:r w:rsidR="00F6719E">
              <w:rPr>
                <w:webHidden/>
              </w:rPr>
              <w:tab/>
            </w:r>
            <w:r w:rsidR="00F6719E">
              <w:rPr>
                <w:webHidden/>
              </w:rPr>
              <w:fldChar w:fldCharType="begin"/>
            </w:r>
            <w:r w:rsidR="00F6719E">
              <w:rPr>
                <w:webHidden/>
              </w:rPr>
              <w:instrText xml:space="preserve"> PAGEREF _Toc107325297 \h </w:instrText>
            </w:r>
            <w:r w:rsidR="00F6719E">
              <w:rPr>
                <w:webHidden/>
              </w:rPr>
            </w:r>
            <w:r w:rsidR="00F6719E">
              <w:rPr>
                <w:webHidden/>
              </w:rPr>
              <w:fldChar w:fldCharType="separate"/>
            </w:r>
            <w:r w:rsidR="00F6719E">
              <w:rPr>
                <w:webHidden/>
              </w:rPr>
              <w:t>12</w:t>
            </w:r>
            <w:r w:rsidR="00F6719E">
              <w:rPr>
                <w:webHidden/>
              </w:rPr>
              <w:fldChar w:fldCharType="end"/>
            </w:r>
          </w:hyperlink>
        </w:p>
        <w:p w14:paraId="2AEA8888" w14:textId="1B2081D3" w:rsidR="00F6719E" w:rsidRDefault="00721599">
          <w:pPr>
            <w:pStyle w:val="TOC1"/>
            <w:tabs>
              <w:tab w:val="left" w:pos="990"/>
            </w:tabs>
            <w:rPr>
              <w:rFonts w:asciiTheme="minorHAnsi" w:eastAsiaTheme="minorEastAsia" w:hAnsiTheme="minorHAnsi" w:cstheme="minorBidi"/>
              <w:b w:val="0"/>
              <w:color w:val="auto"/>
              <w:sz w:val="22"/>
              <w:szCs w:val="22"/>
            </w:rPr>
          </w:pPr>
          <w:hyperlink w:anchor="_Toc107325298" w:history="1">
            <w:r w:rsidR="00F6719E" w:rsidRPr="008B7E69">
              <w:rPr>
                <w:rStyle w:val="Hyperlink"/>
              </w:rPr>
              <w:t>7.4.2</w:t>
            </w:r>
            <w:r w:rsidR="00F6719E">
              <w:rPr>
                <w:rFonts w:asciiTheme="minorHAnsi" w:eastAsiaTheme="minorEastAsia" w:hAnsiTheme="minorHAnsi" w:cstheme="minorBidi"/>
                <w:b w:val="0"/>
                <w:color w:val="auto"/>
                <w:sz w:val="22"/>
                <w:szCs w:val="22"/>
              </w:rPr>
              <w:tab/>
            </w:r>
            <w:r w:rsidR="00F6719E" w:rsidRPr="008B7E69">
              <w:rPr>
                <w:rStyle w:val="Hyperlink"/>
              </w:rPr>
              <w:t>Transition Assistance</w:t>
            </w:r>
            <w:r w:rsidR="00F6719E">
              <w:rPr>
                <w:webHidden/>
              </w:rPr>
              <w:tab/>
            </w:r>
            <w:r w:rsidR="00F6719E">
              <w:rPr>
                <w:webHidden/>
              </w:rPr>
              <w:fldChar w:fldCharType="begin"/>
            </w:r>
            <w:r w:rsidR="00F6719E">
              <w:rPr>
                <w:webHidden/>
              </w:rPr>
              <w:instrText xml:space="preserve"> PAGEREF _Toc107325298 \h </w:instrText>
            </w:r>
            <w:r w:rsidR="00F6719E">
              <w:rPr>
                <w:webHidden/>
              </w:rPr>
            </w:r>
            <w:r w:rsidR="00F6719E">
              <w:rPr>
                <w:webHidden/>
              </w:rPr>
              <w:fldChar w:fldCharType="separate"/>
            </w:r>
            <w:r w:rsidR="00F6719E">
              <w:rPr>
                <w:webHidden/>
              </w:rPr>
              <w:t>12</w:t>
            </w:r>
            <w:r w:rsidR="00F6719E">
              <w:rPr>
                <w:webHidden/>
              </w:rPr>
              <w:fldChar w:fldCharType="end"/>
            </w:r>
          </w:hyperlink>
        </w:p>
        <w:p w14:paraId="0284849B" w14:textId="4B594E30" w:rsidR="00F6719E" w:rsidRDefault="00721599">
          <w:pPr>
            <w:pStyle w:val="TOC1"/>
            <w:tabs>
              <w:tab w:val="left" w:pos="990"/>
            </w:tabs>
            <w:rPr>
              <w:rFonts w:asciiTheme="minorHAnsi" w:eastAsiaTheme="minorEastAsia" w:hAnsiTheme="minorHAnsi" w:cstheme="minorBidi"/>
              <w:b w:val="0"/>
              <w:color w:val="auto"/>
              <w:sz w:val="22"/>
              <w:szCs w:val="22"/>
            </w:rPr>
          </w:pPr>
          <w:hyperlink w:anchor="_Toc107325299" w:history="1">
            <w:r w:rsidR="00F6719E" w:rsidRPr="008B7E69">
              <w:rPr>
                <w:rStyle w:val="Hyperlink"/>
              </w:rPr>
              <w:t>7.4.3</w:t>
            </w:r>
            <w:r w:rsidR="00F6719E">
              <w:rPr>
                <w:rFonts w:asciiTheme="minorHAnsi" w:eastAsiaTheme="minorEastAsia" w:hAnsiTheme="minorHAnsi" w:cstheme="minorBidi"/>
                <w:b w:val="0"/>
                <w:color w:val="auto"/>
                <w:sz w:val="22"/>
                <w:szCs w:val="22"/>
              </w:rPr>
              <w:tab/>
            </w:r>
            <w:r w:rsidR="00F6719E" w:rsidRPr="008B7E69">
              <w:rPr>
                <w:rStyle w:val="Hyperlink"/>
              </w:rPr>
              <w:t>GSA TCC Training Plan</w:t>
            </w:r>
            <w:r w:rsidR="00F6719E">
              <w:rPr>
                <w:webHidden/>
              </w:rPr>
              <w:tab/>
            </w:r>
            <w:r w:rsidR="00F6719E">
              <w:rPr>
                <w:webHidden/>
              </w:rPr>
              <w:fldChar w:fldCharType="begin"/>
            </w:r>
            <w:r w:rsidR="00F6719E">
              <w:rPr>
                <w:webHidden/>
              </w:rPr>
              <w:instrText xml:space="preserve"> PAGEREF _Toc107325299 \h </w:instrText>
            </w:r>
            <w:r w:rsidR="00F6719E">
              <w:rPr>
                <w:webHidden/>
              </w:rPr>
            </w:r>
            <w:r w:rsidR="00F6719E">
              <w:rPr>
                <w:webHidden/>
              </w:rPr>
              <w:fldChar w:fldCharType="separate"/>
            </w:r>
            <w:r w:rsidR="00F6719E">
              <w:rPr>
                <w:webHidden/>
              </w:rPr>
              <w:t>13</w:t>
            </w:r>
            <w:r w:rsidR="00F6719E">
              <w:rPr>
                <w:webHidden/>
              </w:rPr>
              <w:fldChar w:fldCharType="end"/>
            </w:r>
          </w:hyperlink>
        </w:p>
        <w:p w14:paraId="30DFCE74" w14:textId="75C6D1C1" w:rsidR="00F6719E" w:rsidRDefault="00721599">
          <w:pPr>
            <w:pStyle w:val="TOC1"/>
            <w:rPr>
              <w:rFonts w:asciiTheme="minorHAnsi" w:eastAsiaTheme="minorEastAsia" w:hAnsiTheme="minorHAnsi" w:cstheme="minorBidi"/>
              <w:b w:val="0"/>
              <w:color w:val="auto"/>
              <w:sz w:val="22"/>
              <w:szCs w:val="22"/>
            </w:rPr>
          </w:pPr>
          <w:hyperlink w:anchor="_Toc107325300" w:history="1">
            <w:r w:rsidR="00F6719E" w:rsidRPr="008B7E69">
              <w:rPr>
                <w:rStyle w:val="Hyperlink"/>
                <w14:scene3d>
                  <w14:camera w14:prst="orthographicFront"/>
                  <w14:lightRig w14:rig="threePt" w14:dir="t">
                    <w14:rot w14:lat="0" w14:lon="0" w14:rev="0"/>
                  </w14:lightRig>
                </w14:scene3d>
              </w:rPr>
              <w:t>8</w:t>
            </w:r>
            <w:r w:rsidR="00F6719E">
              <w:rPr>
                <w:rFonts w:asciiTheme="minorHAnsi" w:eastAsiaTheme="minorEastAsia" w:hAnsiTheme="minorHAnsi" w:cstheme="minorBidi"/>
                <w:b w:val="0"/>
                <w:color w:val="auto"/>
                <w:sz w:val="22"/>
                <w:szCs w:val="22"/>
              </w:rPr>
              <w:tab/>
            </w:r>
            <w:r w:rsidR="00F6719E" w:rsidRPr="008B7E69">
              <w:rPr>
                <w:rStyle w:val="Hyperlink"/>
              </w:rPr>
              <w:t>Transition Management and Implementation</w:t>
            </w:r>
            <w:r w:rsidR="00F6719E">
              <w:rPr>
                <w:webHidden/>
              </w:rPr>
              <w:tab/>
            </w:r>
            <w:r w:rsidR="00F6719E">
              <w:rPr>
                <w:webHidden/>
              </w:rPr>
              <w:fldChar w:fldCharType="begin"/>
            </w:r>
            <w:r w:rsidR="00F6719E">
              <w:rPr>
                <w:webHidden/>
              </w:rPr>
              <w:instrText xml:space="preserve"> PAGEREF _Toc107325300 \h </w:instrText>
            </w:r>
            <w:r w:rsidR="00F6719E">
              <w:rPr>
                <w:webHidden/>
              </w:rPr>
            </w:r>
            <w:r w:rsidR="00F6719E">
              <w:rPr>
                <w:webHidden/>
              </w:rPr>
              <w:fldChar w:fldCharType="separate"/>
            </w:r>
            <w:r w:rsidR="00F6719E">
              <w:rPr>
                <w:webHidden/>
              </w:rPr>
              <w:t>13</w:t>
            </w:r>
            <w:r w:rsidR="00F6719E">
              <w:rPr>
                <w:webHidden/>
              </w:rPr>
              <w:fldChar w:fldCharType="end"/>
            </w:r>
          </w:hyperlink>
        </w:p>
        <w:p w14:paraId="15000F10" w14:textId="45CEF9C7" w:rsidR="00F6719E" w:rsidRDefault="00721599">
          <w:pPr>
            <w:pStyle w:val="TOC1"/>
            <w:tabs>
              <w:tab w:val="left" w:pos="630"/>
            </w:tabs>
            <w:rPr>
              <w:rFonts w:asciiTheme="minorHAnsi" w:eastAsiaTheme="minorEastAsia" w:hAnsiTheme="minorHAnsi" w:cstheme="minorBidi"/>
              <w:b w:val="0"/>
              <w:color w:val="auto"/>
              <w:sz w:val="22"/>
              <w:szCs w:val="22"/>
            </w:rPr>
          </w:pPr>
          <w:hyperlink w:anchor="_Toc107325301" w:history="1">
            <w:r w:rsidR="00F6719E" w:rsidRPr="008B7E69">
              <w:rPr>
                <w:rStyle w:val="Hyperlink"/>
                <w14:scene3d>
                  <w14:camera w14:prst="orthographicFront"/>
                  <w14:lightRig w14:rig="threePt" w14:dir="t">
                    <w14:rot w14:lat="0" w14:lon="0" w14:rev="0"/>
                  </w14:lightRig>
                </w14:scene3d>
              </w:rPr>
              <w:t>8.1</w:t>
            </w:r>
            <w:r w:rsidR="00F6719E">
              <w:rPr>
                <w:rFonts w:asciiTheme="minorHAnsi" w:eastAsiaTheme="minorEastAsia" w:hAnsiTheme="minorHAnsi" w:cstheme="minorBidi"/>
                <w:b w:val="0"/>
                <w:color w:val="auto"/>
                <w:sz w:val="22"/>
                <w:szCs w:val="22"/>
              </w:rPr>
              <w:tab/>
            </w:r>
            <w:r w:rsidR="00F6719E" w:rsidRPr="008B7E69">
              <w:rPr>
                <w:rStyle w:val="Hyperlink"/>
              </w:rPr>
              <w:t>Develop Fair Opportunity Solicitations</w:t>
            </w:r>
            <w:r w:rsidR="00F6719E">
              <w:rPr>
                <w:webHidden/>
              </w:rPr>
              <w:tab/>
            </w:r>
            <w:r w:rsidR="00F6719E">
              <w:rPr>
                <w:webHidden/>
              </w:rPr>
              <w:fldChar w:fldCharType="begin"/>
            </w:r>
            <w:r w:rsidR="00F6719E">
              <w:rPr>
                <w:webHidden/>
              </w:rPr>
              <w:instrText xml:space="preserve"> PAGEREF _Toc107325301 \h </w:instrText>
            </w:r>
            <w:r w:rsidR="00F6719E">
              <w:rPr>
                <w:webHidden/>
              </w:rPr>
            </w:r>
            <w:r w:rsidR="00F6719E">
              <w:rPr>
                <w:webHidden/>
              </w:rPr>
              <w:fldChar w:fldCharType="separate"/>
            </w:r>
            <w:r w:rsidR="00F6719E">
              <w:rPr>
                <w:webHidden/>
              </w:rPr>
              <w:t>13</w:t>
            </w:r>
            <w:r w:rsidR="00F6719E">
              <w:rPr>
                <w:webHidden/>
              </w:rPr>
              <w:fldChar w:fldCharType="end"/>
            </w:r>
          </w:hyperlink>
        </w:p>
        <w:p w14:paraId="3E4E97E7" w14:textId="39E6D842" w:rsidR="00F6719E" w:rsidRDefault="00721599">
          <w:pPr>
            <w:pStyle w:val="TOC1"/>
            <w:tabs>
              <w:tab w:val="left" w:pos="630"/>
            </w:tabs>
            <w:rPr>
              <w:rFonts w:asciiTheme="minorHAnsi" w:eastAsiaTheme="minorEastAsia" w:hAnsiTheme="minorHAnsi" w:cstheme="minorBidi"/>
              <w:b w:val="0"/>
              <w:color w:val="auto"/>
              <w:sz w:val="22"/>
              <w:szCs w:val="22"/>
            </w:rPr>
          </w:pPr>
          <w:hyperlink w:anchor="_Toc107325302" w:history="1">
            <w:r w:rsidR="00F6719E" w:rsidRPr="008B7E69">
              <w:rPr>
                <w:rStyle w:val="Hyperlink"/>
                <w14:scene3d>
                  <w14:camera w14:prst="orthographicFront"/>
                  <w14:lightRig w14:rig="threePt" w14:dir="t">
                    <w14:rot w14:lat="0" w14:lon="0" w14:rev="0"/>
                  </w14:lightRig>
                </w14:scene3d>
              </w:rPr>
              <w:t>8.2</w:t>
            </w:r>
            <w:r w:rsidR="00F6719E">
              <w:rPr>
                <w:rFonts w:asciiTheme="minorHAnsi" w:eastAsiaTheme="minorEastAsia" w:hAnsiTheme="minorHAnsi" w:cstheme="minorBidi"/>
                <w:b w:val="0"/>
                <w:color w:val="auto"/>
                <w:sz w:val="22"/>
                <w:szCs w:val="22"/>
              </w:rPr>
              <w:tab/>
            </w:r>
            <w:r w:rsidR="00F6719E" w:rsidRPr="008B7E69">
              <w:rPr>
                <w:rStyle w:val="Hyperlink"/>
              </w:rPr>
              <w:t>Award Task Orders</w:t>
            </w:r>
            <w:r w:rsidR="00F6719E">
              <w:rPr>
                <w:webHidden/>
              </w:rPr>
              <w:tab/>
            </w:r>
            <w:r w:rsidR="00F6719E">
              <w:rPr>
                <w:webHidden/>
              </w:rPr>
              <w:fldChar w:fldCharType="begin"/>
            </w:r>
            <w:r w:rsidR="00F6719E">
              <w:rPr>
                <w:webHidden/>
              </w:rPr>
              <w:instrText xml:space="preserve"> PAGEREF _Toc107325302 \h </w:instrText>
            </w:r>
            <w:r w:rsidR="00F6719E">
              <w:rPr>
                <w:webHidden/>
              </w:rPr>
            </w:r>
            <w:r w:rsidR="00F6719E">
              <w:rPr>
                <w:webHidden/>
              </w:rPr>
              <w:fldChar w:fldCharType="separate"/>
            </w:r>
            <w:r w:rsidR="00F6719E">
              <w:rPr>
                <w:webHidden/>
              </w:rPr>
              <w:t>14</w:t>
            </w:r>
            <w:r w:rsidR="00F6719E">
              <w:rPr>
                <w:webHidden/>
              </w:rPr>
              <w:fldChar w:fldCharType="end"/>
            </w:r>
          </w:hyperlink>
        </w:p>
        <w:p w14:paraId="68265082" w14:textId="576068C7" w:rsidR="00F6719E" w:rsidRDefault="00721599">
          <w:pPr>
            <w:pStyle w:val="TOC1"/>
            <w:tabs>
              <w:tab w:val="left" w:pos="630"/>
            </w:tabs>
            <w:rPr>
              <w:rFonts w:asciiTheme="minorHAnsi" w:eastAsiaTheme="minorEastAsia" w:hAnsiTheme="minorHAnsi" w:cstheme="minorBidi"/>
              <w:b w:val="0"/>
              <w:color w:val="auto"/>
              <w:sz w:val="22"/>
              <w:szCs w:val="22"/>
            </w:rPr>
          </w:pPr>
          <w:hyperlink w:anchor="_Toc107325303" w:history="1">
            <w:r w:rsidR="00F6719E" w:rsidRPr="008B7E69">
              <w:rPr>
                <w:rStyle w:val="Hyperlink"/>
                <w14:scene3d>
                  <w14:camera w14:prst="orthographicFront"/>
                  <w14:lightRig w14:rig="threePt" w14:dir="t">
                    <w14:rot w14:lat="0" w14:lon="0" w14:rev="0"/>
                  </w14:lightRig>
                </w14:scene3d>
              </w:rPr>
              <w:t>8.3</w:t>
            </w:r>
            <w:r w:rsidR="00F6719E">
              <w:rPr>
                <w:rFonts w:asciiTheme="minorHAnsi" w:eastAsiaTheme="minorEastAsia" w:hAnsiTheme="minorHAnsi" w:cstheme="minorBidi"/>
                <w:b w:val="0"/>
                <w:color w:val="auto"/>
                <w:sz w:val="22"/>
                <w:szCs w:val="22"/>
              </w:rPr>
              <w:tab/>
            </w:r>
            <w:r w:rsidR="00F6719E" w:rsidRPr="008B7E69">
              <w:rPr>
                <w:rStyle w:val="Hyperlink"/>
              </w:rPr>
              <w:t>Ordering Process</w:t>
            </w:r>
            <w:r w:rsidR="00F6719E">
              <w:rPr>
                <w:webHidden/>
              </w:rPr>
              <w:tab/>
            </w:r>
            <w:r w:rsidR="00F6719E">
              <w:rPr>
                <w:webHidden/>
              </w:rPr>
              <w:fldChar w:fldCharType="begin"/>
            </w:r>
            <w:r w:rsidR="00F6719E">
              <w:rPr>
                <w:webHidden/>
              </w:rPr>
              <w:instrText xml:space="preserve"> PAGEREF _Toc107325303 \h </w:instrText>
            </w:r>
            <w:r w:rsidR="00F6719E">
              <w:rPr>
                <w:webHidden/>
              </w:rPr>
            </w:r>
            <w:r w:rsidR="00F6719E">
              <w:rPr>
                <w:webHidden/>
              </w:rPr>
              <w:fldChar w:fldCharType="separate"/>
            </w:r>
            <w:r w:rsidR="00F6719E">
              <w:rPr>
                <w:webHidden/>
              </w:rPr>
              <w:t>14</w:t>
            </w:r>
            <w:r w:rsidR="00F6719E">
              <w:rPr>
                <w:webHidden/>
              </w:rPr>
              <w:fldChar w:fldCharType="end"/>
            </w:r>
          </w:hyperlink>
        </w:p>
        <w:p w14:paraId="20EB7208" w14:textId="209F2ED0" w:rsidR="00F6719E" w:rsidRDefault="00721599">
          <w:pPr>
            <w:pStyle w:val="TOC1"/>
            <w:tabs>
              <w:tab w:val="left" w:pos="630"/>
            </w:tabs>
            <w:rPr>
              <w:rFonts w:asciiTheme="minorHAnsi" w:eastAsiaTheme="minorEastAsia" w:hAnsiTheme="minorHAnsi" w:cstheme="minorBidi"/>
              <w:b w:val="0"/>
              <w:color w:val="auto"/>
              <w:sz w:val="22"/>
              <w:szCs w:val="22"/>
            </w:rPr>
          </w:pPr>
          <w:hyperlink w:anchor="_Toc107325304" w:history="1">
            <w:r w:rsidR="00F6719E" w:rsidRPr="008B7E69">
              <w:rPr>
                <w:rStyle w:val="Hyperlink"/>
                <w14:scene3d>
                  <w14:camera w14:prst="orthographicFront"/>
                  <w14:lightRig w14:rig="threePt" w14:dir="t">
                    <w14:rot w14:lat="0" w14:lon="0" w14:rev="0"/>
                  </w14:lightRig>
                </w14:scene3d>
              </w:rPr>
              <w:t>8.4</w:t>
            </w:r>
            <w:r w:rsidR="00F6719E">
              <w:rPr>
                <w:rFonts w:asciiTheme="minorHAnsi" w:eastAsiaTheme="minorEastAsia" w:hAnsiTheme="minorHAnsi" w:cstheme="minorBidi"/>
                <w:b w:val="0"/>
                <w:color w:val="auto"/>
                <w:sz w:val="22"/>
                <w:szCs w:val="22"/>
              </w:rPr>
              <w:tab/>
            </w:r>
            <w:r w:rsidR="00F6719E" w:rsidRPr="008B7E69">
              <w:rPr>
                <w:rStyle w:val="Hyperlink"/>
              </w:rPr>
              <w:t>Service Implementation</w:t>
            </w:r>
            <w:r w:rsidR="00F6719E">
              <w:rPr>
                <w:webHidden/>
              </w:rPr>
              <w:tab/>
            </w:r>
            <w:r w:rsidR="00F6719E">
              <w:rPr>
                <w:webHidden/>
              </w:rPr>
              <w:fldChar w:fldCharType="begin"/>
            </w:r>
            <w:r w:rsidR="00F6719E">
              <w:rPr>
                <w:webHidden/>
              </w:rPr>
              <w:instrText xml:space="preserve"> PAGEREF _Toc107325304 \h </w:instrText>
            </w:r>
            <w:r w:rsidR="00F6719E">
              <w:rPr>
                <w:webHidden/>
              </w:rPr>
            </w:r>
            <w:r w:rsidR="00F6719E">
              <w:rPr>
                <w:webHidden/>
              </w:rPr>
              <w:fldChar w:fldCharType="separate"/>
            </w:r>
            <w:r w:rsidR="00F6719E">
              <w:rPr>
                <w:webHidden/>
              </w:rPr>
              <w:t>14</w:t>
            </w:r>
            <w:r w:rsidR="00F6719E">
              <w:rPr>
                <w:webHidden/>
              </w:rPr>
              <w:fldChar w:fldCharType="end"/>
            </w:r>
          </w:hyperlink>
        </w:p>
        <w:p w14:paraId="0382587A" w14:textId="6292B9CF" w:rsidR="00F6719E" w:rsidRDefault="00721599">
          <w:pPr>
            <w:pStyle w:val="TOC1"/>
            <w:tabs>
              <w:tab w:val="left" w:pos="630"/>
            </w:tabs>
            <w:rPr>
              <w:rFonts w:asciiTheme="minorHAnsi" w:eastAsiaTheme="minorEastAsia" w:hAnsiTheme="minorHAnsi" w:cstheme="minorBidi"/>
              <w:b w:val="0"/>
              <w:color w:val="auto"/>
              <w:sz w:val="22"/>
              <w:szCs w:val="22"/>
            </w:rPr>
          </w:pPr>
          <w:hyperlink w:anchor="_Toc107325305" w:history="1">
            <w:r w:rsidR="00F6719E" w:rsidRPr="008B7E69">
              <w:rPr>
                <w:rStyle w:val="Hyperlink"/>
                <w14:scene3d>
                  <w14:camera w14:prst="orthographicFront"/>
                  <w14:lightRig w14:rig="threePt" w14:dir="t">
                    <w14:rot w14:lat="0" w14:lon="0" w14:rev="0"/>
                  </w14:lightRig>
                </w14:scene3d>
              </w:rPr>
              <w:t>8.5</w:t>
            </w:r>
            <w:r w:rsidR="00F6719E">
              <w:rPr>
                <w:rFonts w:asciiTheme="minorHAnsi" w:eastAsiaTheme="minorEastAsia" w:hAnsiTheme="minorHAnsi" w:cstheme="minorBidi"/>
                <w:b w:val="0"/>
                <w:color w:val="auto"/>
                <w:sz w:val="22"/>
                <w:szCs w:val="22"/>
              </w:rPr>
              <w:tab/>
            </w:r>
            <w:r w:rsidR="00F6719E" w:rsidRPr="008B7E69">
              <w:rPr>
                <w:rStyle w:val="Hyperlink"/>
              </w:rPr>
              <w:t>Transition Tracking and Reporting</w:t>
            </w:r>
            <w:r w:rsidR="00F6719E">
              <w:rPr>
                <w:webHidden/>
              </w:rPr>
              <w:tab/>
            </w:r>
            <w:r w:rsidR="00F6719E">
              <w:rPr>
                <w:webHidden/>
              </w:rPr>
              <w:fldChar w:fldCharType="begin"/>
            </w:r>
            <w:r w:rsidR="00F6719E">
              <w:rPr>
                <w:webHidden/>
              </w:rPr>
              <w:instrText xml:space="preserve"> PAGEREF _Toc107325305 \h </w:instrText>
            </w:r>
            <w:r w:rsidR="00F6719E">
              <w:rPr>
                <w:webHidden/>
              </w:rPr>
            </w:r>
            <w:r w:rsidR="00F6719E">
              <w:rPr>
                <w:webHidden/>
              </w:rPr>
              <w:fldChar w:fldCharType="separate"/>
            </w:r>
            <w:r w:rsidR="00F6719E">
              <w:rPr>
                <w:webHidden/>
              </w:rPr>
              <w:t>15</w:t>
            </w:r>
            <w:r w:rsidR="00F6719E">
              <w:rPr>
                <w:webHidden/>
              </w:rPr>
              <w:fldChar w:fldCharType="end"/>
            </w:r>
          </w:hyperlink>
        </w:p>
        <w:p w14:paraId="3A89034F" w14:textId="01A791F1" w:rsidR="00F6719E" w:rsidRDefault="00721599">
          <w:pPr>
            <w:pStyle w:val="TOC1"/>
            <w:tabs>
              <w:tab w:val="left" w:pos="630"/>
            </w:tabs>
            <w:rPr>
              <w:rFonts w:asciiTheme="minorHAnsi" w:eastAsiaTheme="minorEastAsia" w:hAnsiTheme="minorHAnsi" w:cstheme="minorBidi"/>
              <w:b w:val="0"/>
              <w:color w:val="auto"/>
              <w:sz w:val="22"/>
              <w:szCs w:val="22"/>
            </w:rPr>
          </w:pPr>
          <w:hyperlink w:anchor="_Toc107325306" w:history="1">
            <w:r w:rsidR="00F6719E" w:rsidRPr="008B7E69">
              <w:rPr>
                <w:rStyle w:val="Hyperlink"/>
                <w14:scene3d>
                  <w14:camera w14:prst="orthographicFront"/>
                  <w14:lightRig w14:rig="threePt" w14:dir="t">
                    <w14:rot w14:lat="0" w14:lon="0" w14:rev="0"/>
                  </w14:lightRig>
                </w14:scene3d>
              </w:rPr>
              <w:t>8.6</w:t>
            </w:r>
            <w:r w:rsidR="00F6719E">
              <w:rPr>
                <w:rFonts w:asciiTheme="minorHAnsi" w:eastAsiaTheme="minorEastAsia" w:hAnsiTheme="minorHAnsi" w:cstheme="minorBidi"/>
                <w:b w:val="0"/>
                <w:color w:val="auto"/>
                <w:sz w:val="22"/>
                <w:szCs w:val="22"/>
              </w:rPr>
              <w:tab/>
            </w:r>
            <w:r w:rsidR="00F6719E" w:rsidRPr="008B7E69">
              <w:rPr>
                <w:rStyle w:val="Hyperlink"/>
              </w:rPr>
              <w:t>Stakeholder Communications for Transition</w:t>
            </w:r>
            <w:r w:rsidR="00F6719E">
              <w:rPr>
                <w:webHidden/>
              </w:rPr>
              <w:tab/>
            </w:r>
            <w:r w:rsidR="00F6719E">
              <w:rPr>
                <w:webHidden/>
              </w:rPr>
              <w:fldChar w:fldCharType="begin"/>
            </w:r>
            <w:r w:rsidR="00F6719E">
              <w:rPr>
                <w:webHidden/>
              </w:rPr>
              <w:instrText xml:space="preserve"> PAGEREF _Toc107325306 \h </w:instrText>
            </w:r>
            <w:r w:rsidR="00F6719E">
              <w:rPr>
                <w:webHidden/>
              </w:rPr>
            </w:r>
            <w:r w:rsidR="00F6719E">
              <w:rPr>
                <w:webHidden/>
              </w:rPr>
              <w:fldChar w:fldCharType="separate"/>
            </w:r>
            <w:r w:rsidR="00F6719E">
              <w:rPr>
                <w:webHidden/>
              </w:rPr>
              <w:t>16</w:t>
            </w:r>
            <w:r w:rsidR="00F6719E">
              <w:rPr>
                <w:webHidden/>
              </w:rPr>
              <w:fldChar w:fldCharType="end"/>
            </w:r>
          </w:hyperlink>
        </w:p>
        <w:p w14:paraId="3550B003" w14:textId="57C4CBE8" w:rsidR="00F6719E" w:rsidRDefault="00721599">
          <w:pPr>
            <w:pStyle w:val="TOC1"/>
            <w:tabs>
              <w:tab w:val="left" w:pos="990"/>
            </w:tabs>
            <w:rPr>
              <w:rFonts w:asciiTheme="minorHAnsi" w:eastAsiaTheme="minorEastAsia" w:hAnsiTheme="minorHAnsi" w:cstheme="minorBidi"/>
              <w:b w:val="0"/>
              <w:color w:val="auto"/>
              <w:sz w:val="22"/>
              <w:szCs w:val="22"/>
            </w:rPr>
          </w:pPr>
          <w:hyperlink w:anchor="_Toc107325307" w:history="1">
            <w:r w:rsidR="00F6719E" w:rsidRPr="008B7E69">
              <w:rPr>
                <w:rStyle w:val="Hyperlink"/>
              </w:rPr>
              <w:t>8.6.1</w:t>
            </w:r>
            <w:r w:rsidR="00F6719E">
              <w:rPr>
                <w:rFonts w:asciiTheme="minorHAnsi" w:eastAsiaTheme="minorEastAsia" w:hAnsiTheme="minorHAnsi" w:cstheme="minorBidi"/>
                <w:b w:val="0"/>
                <w:color w:val="auto"/>
                <w:sz w:val="22"/>
                <w:szCs w:val="22"/>
              </w:rPr>
              <w:tab/>
            </w:r>
            <w:r w:rsidR="00F6719E" w:rsidRPr="008B7E69">
              <w:rPr>
                <w:rStyle w:val="Hyperlink"/>
              </w:rPr>
              <w:t>Infrastructure Advisory Group</w:t>
            </w:r>
            <w:r w:rsidR="00F6719E">
              <w:rPr>
                <w:webHidden/>
              </w:rPr>
              <w:tab/>
            </w:r>
            <w:r w:rsidR="00F6719E">
              <w:rPr>
                <w:webHidden/>
              </w:rPr>
              <w:fldChar w:fldCharType="begin"/>
            </w:r>
            <w:r w:rsidR="00F6719E">
              <w:rPr>
                <w:webHidden/>
              </w:rPr>
              <w:instrText xml:space="preserve"> PAGEREF _Toc107325307 \h </w:instrText>
            </w:r>
            <w:r w:rsidR="00F6719E">
              <w:rPr>
                <w:webHidden/>
              </w:rPr>
            </w:r>
            <w:r w:rsidR="00F6719E">
              <w:rPr>
                <w:webHidden/>
              </w:rPr>
              <w:fldChar w:fldCharType="separate"/>
            </w:r>
            <w:r w:rsidR="00F6719E">
              <w:rPr>
                <w:webHidden/>
              </w:rPr>
              <w:t>16</w:t>
            </w:r>
            <w:r w:rsidR="00F6719E">
              <w:rPr>
                <w:webHidden/>
              </w:rPr>
              <w:fldChar w:fldCharType="end"/>
            </w:r>
          </w:hyperlink>
        </w:p>
        <w:p w14:paraId="737D3369" w14:textId="3EEF43BD" w:rsidR="00F6719E" w:rsidRDefault="00721599">
          <w:pPr>
            <w:pStyle w:val="TOC1"/>
            <w:tabs>
              <w:tab w:val="left" w:pos="990"/>
            </w:tabs>
            <w:rPr>
              <w:rFonts w:asciiTheme="minorHAnsi" w:eastAsiaTheme="minorEastAsia" w:hAnsiTheme="minorHAnsi" w:cstheme="minorBidi"/>
              <w:b w:val="0"/>
              <w:color w:val="auto"/>
              <w:sz w:val="22"/>
              <w:szCs w:val="22"/>
            </w:rPr>
          </w:pPr>
          <w:hyperlink w:anchor="_Toc107325308" w:history="1">
            <w:r w:rsidR="00F6719E" w:rsidRPr="008B7E69">
              <w:rPr>
                <w:rStyle w:val="Hyperlink"/>
              </w:rPr>
              <w:t>8.6.2</w:t>
            </w:r>
            <w:r w:rsidR="00F6719E">
              <w:rPr>
                <w:rFonts w:asciiTheme="minorHAnsi" w:eastAsiaTheme="minorEastAsia" w:hAnsiTheme="minorHAnsi" w:cstheme="minorBidi"/>
                <w:b w:val="0"/>
                <w:color w:val="auto"/>
                <w:sz w:val="22"/>
                <w:szCs w:val="22"/>
              </w:rPr>
              <w:tab/>
            </w:r>
            <w:r w:rsidR="00F6719E" w:rsidRPr="008B7E69">
              <w:rPr>
                <w:rStyle w:val="Hyperlink"/>
              </w:rPr>
              <w:t>Help Desk</w:t>
            </w:r>
            <w:r w:rsidR="00F6719E">
              <w:rPr>
                <w:webHidden/>
              </w:rPr>
              <w:tab/>
            </w:r>
            <w:r w:rsidR="00F6719E">
              <w:rPr>
                <w:webHidden/>
              </w:rPr>
              <w:fldChar w:fldCharType="begin"/>
            </w:r>
            <w:r w:rsidR="00F6719E">
              <w:rPr>
                <w:webHidden/>
              </w:rPr>
              <w:instrText xml:space="preserve"> PAGEREF _Toc107325308 \h </w:instrText>
            </w:r>
            <w:r w:rsidR="00F6719E">
              <w:rPr>
                <w:webHidden/>
              </w:rPr>
            </w:r>
            <w:r w:rsidR="00F6719E">
              <w:rPr>
                <w:webHidden/>
              </w:rPr>
              <w:fldChar w:fldCharType="separate"/>
            </w:r>
            <w:r w:rsidR="00F6719E">
              <w:rPr>
                <w:webHidden/>
              </w:rPr>
              <w:t>16</w:t>
            </w:r>
            <w:r w:rsidR="00F6719E">
              <w:rPr>
                <w:webHidden/>
              </w:rPr>
              <w:fldChar w:fldCharType="end"/>
            </w:r>
          </w:hyperlink>
        </w:p>
        <w:p w14:paraId="252A388F" w14:textId="11EAC4BF" w:rsidR="00F6719E" w:rsidRDefault="00721599">
          <w:pPr>
            <w:pStyle w:val="TOC1"/>
            <w:tabs>
              <w:tab w:val="left" w:pos="990"/>
            </w:tabs>
            <w:rPr>
              <w:rFonts w:asciiTheme="minorHAnsi" w:eastAsiaTheme="minorEastAsia" w:hAnsiTheme="minorHAnsi" w:cstheme="minorBidi"/>
              <w:b w:val="0"/>
              <w:color w:val="auto"/>
              <w:sz w:val="22"/>
              <w:szCs w:val="22"/>
            </w:rPr>
          </w:pPr>
          <w:hyperlink w:anchor="_Toc107325309" w:history="1">
            <w:r w:rsidR="00F6719E" w:rsidRPr="008B7E69">
              <w:rPr>
                <w:rStyle w:val="Hyperlink"/>
              </w:rPr>
              <w:t>8.6.3</w:t>
            </w:r>
            <w:r w:rsidR="00F6719E">
              <w:rPr>
                <w:rFonts w:asciiTheme="minorHAnsi" w:eastAsiaTheme="minorEastAsia" w:hAnsiTheme="minorHAnsi" w:cstheme="minorBidi"/>
                <w:b w:val="0"/>
                <w:color w:val="auto"/>
                <w:sz w:val="22"/>
                <w:szCs w:val="22"/>
              </w:rPr>
              <w:tab/>
            </w:r>
            <w:r w:rsidR="00F6719E" w:rsidRPr="008B7E69">
              <w:rPr>
                <w:rStyle w:val="Hyperlink"/>
              </w:rPr>
              <w:t>EIS Transition Website</w:t>
            </w:r>
            <w:r w:rsidR="00F6719E">
              <w:rPr>
                <w:webHidden/>
              </w:rPr>
              <w:tab/>
            </w:r>
            <w:r w:rsidR="00F6719E">
              <w:rPr>
                <w:webHidden/>
              </w:rPr>
              <w:fldChar w:fldCharType="begin"/>
            </w:r>
            <w:r w:rsidR="00F6719E">
              <w:rPr>
                <w:webHidden/>
              </w:rPr>
              <w:instrText xml:space="preserve"> PAGEREF _Toc107325309 \h </w:instrText>
            </w:r>
            <w:r w:rsidR="00F6719E">
              <w:rPr>
                <w:webHidden/>
              </w:rPr>
            </w:r>
            <w:r w:rsidR="00F6719E">
              <w:rPr>
                <w:webHidden/>
              </w:rPr>
              <w:fldChar w:fldCharType="separate"/>
            </w:r>
            <w:r w:rsidR="00F6719E">
              <w:rPr>
                <w:webHidden/>
              </w:rPr>
              <w:t>16</w:t>
            </w:r>
            <w:r w:rsidR="00F6719E">
              <w:rPr>
                <w:webHidden/>
              </w:rPr>
              <w:fldChar w:fldCharType="end"/>
            </w:r>
          </w:hyperlink>
        </w:p>
        <w:p w14:paraId="5FC891B3" w14:textId="13581C3C" w:rsidR="00F6719E" w:rsidRDefault="00721599">
          <w:pPr>
            <w:pStyle w:val="TOC1"/>
            <w:tabs>
              <w:tab w:val="left" w:pos="990"/>
            </w:tabs>
            <w:rPr>
              <w:rFonts w:asciiTheme="minorHAnsi" w:eastAsiaTheme="minorEastAsia" w:hAnsiTheme="minorHAnsi" w:cstheme="minorBidi"/>
              <w:b w:val="0"/>
              <w:color w:val="auto"/>
              <w:sz w:val="22"/>
              <w:szCs w:val="22"/>
            </w:rPr>
          </w:pPr>
          <w:hyperlink w:anchor="_Toc107325310" w:history="1">
            <w:r w:rsidR="00F6719E" w:rsidRPr="008B7E69">
              <w:rPr>
                <w:rStyle w:val="Hyperlink"/>
              </w:rPr>
              <w:t>8.6.4</w:t>
            </w:r>
            <w:r w:rsidR="00F6719E">
              <w:rPr>
                <w:rFonts w:asciiTheme="minorHAnsi" w:eastAsiaTheme="minorEastAsia" w:hAnsiTheme="minorHAnsi" w:cstheme="minorBidi"/>
                <w:b w:val="0"/>
                <w:color w:val="auto"/>
                <w:sz w:val="22"/>
                <w:szCs w:val="22"/>
              </w:rPr>
              <w:tab/>
            </w:r>
            <w:r w:rsidR="00F6719E" w:rsidRPr="008B7E69">
              <w:rPr>
                <w:rStyle w:val="Hyperlink"/>
              </w:rPr>
              <w:t>EIS Bulletins</w:t>
            </w:r>
            <w:r w:rsidR="00F6719E">
              <w:rPr>
                <w:webHidden/>
              </w:rPr>
              <w:tab/>
            </w:r>
            <w:r w:rsidR="00F6719E">
              <w:rPr>
                <w:webHidden/>
              </w:rPr>
              <w:fldChar w:fldCharType="begin"/>
            </w:r>
            <w:r w:rsidR="00F6719E">
              <w:rPr>
                <w:webHidden/>
              </w:rPr>
              <w:instrText xml:space="preserve"> PAGEREF _Toc107325310 \h </w:instrText>
            </w:r>
            <w:r w:rsidR="00F6719E">
              <w:rPr>
                <w:webHidden/>
              </w:rPr>
            </w:r>
            <w:r w:rsidR="00F6719E">
              <w:rPr>
                <w:webHidden/>
              </w:rPr>
              <w:fldChar w:fldCharType="separate"/>
            </w:r>
            <w:r w:rsidR="00F6719E">
              <w:rPr>
                <w:webHidden/>
              </w:rPr>
              <w:t>16</w:t>
            </w:r>
            <w:r w:rsidR="00F6719E">
              <w:rPr>
                <w:webHidden/>
              </w:rPr>
              <w:fldChar w:fldCharType="end"/>
            </w:r>
          </w:hyperlink>
        </w:p>
        <w:p w14:paraId="2C8A725F" w14:textId="49D93B43" w:rsidR="00F6719E" w:rsidRDefault="00721599">
          <w:pPr>
            <w:pStyle w:val="TOC1"/>
            <w:tabs>
              <w:tab w:val="left" w:pos="630"/>
            </w:tabs>
            <w:rPr>
              <w:rFonts w:asciiTheme="minorHAnsi" w:eastAsiaTheme="minorEastAsia" w:hAnsiTheme="minorHAnsi" w:cstheme="minorBidi"/>
              <w:b w:val="0"/>
              <w:color w:val="auto"/>
              <w:sz w:val="22"/>
              <w:szCs w:val="22"/>
            </w:rPr>
          </w:pPr>
          <w:hyperlink w:anchor="_Toc107325311" w:history="1">
            <w:r w:rsidR="00F6719E" w:rsidRPr="008B7E69">
              <w:rPr>
                <w:rStyle w:val="Hyperlink"/>
                <w14:scene3d>
                  <w14:camera w14:prst="orthographicFront"/>
                  <w14:lightRig w14:rig="threePt" w14:dir="t">
                    <w14:rot w14:lat="0" w14:lon="0" w14:rev="0"/>
                  </w14:lightRig>
                </w14:scene3d>
              </w:rPr>
              <w:t>8.7</w:t>
            </w:r>
            <w:r w:rsidR="00F6719E">
              <w:rPr>
                <w:rFonts w:asciiTheme="minorHAnsi" w:eastAsiaTheme="minorEastAsia" w:hAnsiTheme="minorHAnsi" w:cstheme="minorBidi"/>
                <w:b w:val="0"/>
                <w:color w:val="auto"/>
                <w:sz w:val="22"/>
                <w:szCs w:val="22"/>
              </w:rPr>
              <w:tab/>
            </w:r>
            <w:r w:rsidR="00F6719E" w:rsidRPr="008B7E69">
              <w:rPr>
                <w:rStyle w:val="Hyperlink"/>
              </w:rPr>
              <w:t>Disconnects</w:t>
            </w:r>
            <w:r w:rsidR="00F6719E">
              <w:rPr>
                <w:webHidden/>
              </w:rPr>
              <w:tab/>
            </w:r>
            <w:r w:rsidR="00F6719E">
              <w:rPr>
                <w:webHidden/>
              </w:rPr>
              <w:fldChar w:fldCharType="begin"/>
            </w:r>
            <w:r w:rsidR="00F6719E">
              <w:rPr>
                <w:webHidden/>
              </w:rPr>
              <w:instrText xml:space="preserve"> PAGEREF _Toc107325311 \h </w:instrText>
            </w:r>
            <w:r w:rsidR="00F6719E">
              <w:rPr>
                <w:webHidden/>
              </w:rPr>
            </w:r>
            <w:r w:rsidR="00F6719E">
              <w:rPr>
                <w:webHidden/>
              </w:rPr>
              <w:fldChar w:fldCharType="separate"/>
            </w:r>
            <w:r w:rsidR="00F6719E">
              <w:rPr>
                <w:webHidden/>
              </w:rPr>
              <w:t>17</w:t>
            </w:r>
            <w:r w:rsidR="00F6719E">
              <w:rPr>
                <w:webHidden/>
              </w:rPr>
              <w:fldChar w:fldCharType="end"/>
            </w:r>
          </w:hyperlink>
        </w:p>
        <w:p w14:paraId="56526108" w14:textId="282E5888" w:rsidR="00F6719E" w:rsidRDefault="00721599">
          <w:pPr>
            <w:pStyle w:val="TOC1"/>
            <w:rPr>
              <w:rFonts w:asciiTheme="minorHAnsi" w:eastAsiaTheme="minorEastAsia" w:hAnsiTheme="minorHAnsi" w:cstheme="minorBidi"/>
              <w:b w:val="0"/>
              <w:color w:val="auto"/>
              <w:sz w:val="22"/>
              <w:szCs w:val="22"/>
            </w:rPr>
          </w:pPr>
          <w:hyperlink w:anchor="_Toc107325312" w:history="1">
            <w:r w:rsidR="00F6719E" w:rsidRPr="008B7E69">
              <w:rPr>
                <w:rStyle w:val="Hyperlink"/>
                <w14:scene3d>
                  <w14:camera w14:prst="orthographicFront"/>
                  <w14:lightRig w14:rig="threePt" w14:dir="t">
                    <w14:rot w14:lat="0" w14:lon="0" w14:rev="0"/>
                  </w14:lightRig>
                </w14:scene3d>
              </w:rPr>
              <w:t>9</w:t>
            </w:r>
            <w:r w:rsidR="00F6719E">
              <w:rPr>
                <w:rFonts w:asciiTheme="minorHAnsi" w:eastAsiaTheme="minorEastAsia" w:hAnsiTheme="minorHAnsi" w:cstheme="minorBidi"/>
                <w:b w:val="0"/>
                <w:color w:val="auto"/>
                <w:sz w:val="22"/>
                <w:szCs w:val="22"/>
              </w:rPr>
              <w:tab/>
            </w:r>
            <w:r w:rsidR="00F6719E" w:rsidRPr="008B7E69">
              <w:rPr>
                <w:rStyle w:val="Hyperlink"/>
              </w:rPr>
              <w:t>Summary</w:t>
            </w:r>
            <w:r w:rsidR="00F6719E">
              <w:rPr>
                <w:webHidden/>
              </w:rPr>
              <w:tab/>
            </w:r>
            <w:r w:rsidR="00F6719E">
              <w:rPr>
                <w:webHidden/>
              </w:rPr>
              <w:fldChar w:fldCharType="begin"/>
            </w:r>
            <w:r w:rsidR="00F6719E">
              <w:rPr>
                <w:webHidden/>
              </w:rPr>
              <w:instrText xml:space="preserve"> PAGEREF _Toc107325312 \h </w:instrText>
            </w:r>
            <w:r w:rsidR="00F6719E">
              <w:rPr>
                <w:webHidden/>
              </w:rPr>
            </w:r>
            <w:r w:rsidR="00F6719E">
              <w:rPr>
                <w:webHidden/>
              </w:rPr>
              <w:fldChar w:fldCharType="separate"/>
            </w:r>
            <w:r w:rsidR="00F6719E">
              <w:rPr>
                <w:webHidden/>
              </w:rPr>
              <w:t>17</w:t>
            </w:r>
            <w:r w:rsidR="00F6719E">
              <w:rPr>
                <w:webHidden/>
              </w:rPr>
              <w:fldChar w:fldCharType="end"/>
            </w:r>
          </w:hyperlink>
        </w:p>
        <w:p w14:paraId="3161446D" w14:textId="4682331F" w:rsidR="00F6719E" w:rsidRDefault="00721599">
          <w:pPr>
            <w:pStyle w:val="TOC1"/>
            <w:rPr>
              <w:rFonts w:asciiTheme="minorHAnsi" w:eastAsiaTheme="minorEastAsia" w:hAnsiTheme="minorHAnsi" w:cstheme="minorBidi"/>
              <w:b w:val="0"/>
              <w:color w:val="auto"/>
              <w:sz w:val="22"/>
              <w:szCs w:val="22"/>
            </w:rPr>
          </w:pPr>
          <w:hyperlink w:anchor="_Toc107325313" w:history="1">
            <w:r w:rsidR="00F6719E" w:rsidRPr="008B7E69">
              <w:rPr>
                <w:rStyle w:val="Hyperlink"/>
              </w:rPr>
              <w:t>Appendix A – Acronym List</w:t>
            </w:r>
            <w:r w:rsidR="00F6719E">
              <w:rPr>
                <w:webHidden/>
              </w:rPr>
              <w:tab/>
            </w:r>
            <w:r w:rsidR="00F6719E">
              <w:rPr>
                <w:webHidden/>
              </w:rPr>
              <w:fldChar w:fldCharType="begin"/>
            </w:r>
            <w:r w:rsidR="00F6719E">
              <w:rPr>
                <w:webHidden/>
              </w:rPr>
              <w:instrText xml:space="preserve"> PAGEREF _Toc107325313 \h </w:instrText>
            </w:r>
            <w:r w:rsidR="00F6719E">
              <w:rPr>
                <w:webHidden/>
              </w:rPr>
            </w:r>
            <w:r w:rsidR="00F6719E">
              <w:rPr>
                <w:webHidden/>
              </w:rPr>
              <w:fldChar w:fldCharType="separate"/>
            </w:r>
            <w:r w:rsidR="00F6719E">
              <w:rPr>
                <w:webHidden/>
              </w:rPr>
              <w:t>18</w:t>
            </w:r>
            <w:r w:rsidR="00F6719E">
              <w:rPr>
                <w:webHidden/>
              </w:rPr>
              <w:fldChar w:fldCharType="end"/>
            </w:r>
          </w:hyperlink>
        </w:p>
        <w:p w14:paraId="7B8ADF3D" w14:textId="1FBA7269" w:rsidR="00F6719E" w:rsidRDefault="00721599">
          <w:pPr>
            <w:pStyle w:val="TOC1"/>
            <w:rPr>
              <w:rFonts w:asciiTheme="minorHAnsi" w:eastAsiaTheme="minorEastAsia" w:hAnsiTheme="minorHAnsi" w:cstheme="minorBidi"/>
              <w:b w:val="0"/>
              <w:color w:val="auto"/>
              <w:sz w:val="22"/>
              <w:szCs w:val="22"/>
            </w:rPr>
          </w:pPr>
          <w:hyperlink w:anchor="_Toc107325314" w:history="1">
            <w:r w:rsidR="00F6719E" w:rsidRPr="008B7E69">
              <w:rPr>
                <w:rStyle w:val="Hyperlink"/>
              </w:rPr>
              <w:t>Appendix B – Agency Transition Plan Outline</w:t>
            </w:r>
            <w:r w:rsidR="00F6719E">
              <w:rPr>
                <w:webHidden/>
              </w:rPr>
              <w:tab/>
            </w:r>
            <w:r w:rsidR="00F6719E">
              <w:rPr>
                <w:webHidden/>
              </w:rPr>
              <w:fldChar w:fldCharType="begin"/>
            </w:r>
            <w:r w:rsidR="00F6719E">
              <w:rPr>
                <w:webHidden/>
              </w:rPr>
              <w:instrText xml:space="preserve"> PAGEREF _Toc107325314 \h </w:instrText>
            </w:r>
            <w:r w:rsidR="00F6719E">
              <w:rPr>
                <w:webHidden/>
              </w:rPr>
            </w:r>
            <w:r w:rsidR="00F6719E">
              <w:rPr>
                <w:webHidden/>
              </w:rPr>
              <w:fldChar w:fldCharType="separate"/>
            </w:r>
            <w:r w:rsidR="00F6719E">
              <w:rPr>
                <w:webHidden/>
              </w:rPr>
              <w:t>20</w:t>
            </w:r>
            <w:r w:rsidR="00F6719E">
              <w:rPr>
                <w:webHidden/>
              </w:rPr>
              <w:fldChar w:fldCharType="end"/>
            </w:r>
          </w:hyperlink>
        </w:p>
        <w:p w14:paraId="19A3189B" w14:textId="64C11F9E" w:rsidR="00F6719E" w:rsidRDefault="00721599">
          <w:pPr>
            <w:pStyle w:val="TOC1"/>
            <w:rPr>
              <w:rFonts w:asciiTheme="minorHAnsi" w:eastAsiaTheme="minorEastAsia" w:hAnsiTheme="minorHAnsi" w:cstheme="minorBidi"/>
              <w:b w:val="0"/>
              <w:color w:val="auto"/>
              <w:sz w:val="22"/>
              <w:szCs w:val="22"/>
            </w:rPr>
          </w:pPr>
          <w:hyperlink w:anchor="_Toc107325315" w:history="1">
            <w:r w:rsidR="00F6719E" w:rsidRPr="008B7E69">
              <w:rPr>
                <w:rStyle w:val="Hyperlink"/>
              </w:rPr>
              <w:t>Appendix C – List of FTS2001 to Networx Lessons Learned</w:t>
            </w:r>
            <w:r w:rsidR="00F6719E">
              <w:rPr>
                <w:webHidden/>
              </w:rPr>
              <w:tab/>
            </w:r>
            <w:r w:rsidR="00F6719E">
              <w:rPr>
                <w:webHidden/>
              </w:rPr>
              <w:fldChar w:fldCharType="begin"/>
            </w:r>
            <w:r w:rsidR="00F6719E">
              <w:rPr>
                <w:webHidden/>
              </w:rPr>
              <w:instrText xml:space="preserve"> PAGEREF _Toc107325315 \h </w:instrText>
            </w:r>
            <w:r w:rsidR="00F6719E">
              <w:rPr>
                <w:webHidden/>
              </w:rPr>
            </w:r>
            <w:r w:rsidR="00F6719E">
              <w:rPr>
                <w:webHidden/>
              </w:rPr>
              <w:fldChar w:fldCharType="separate"/>
            </w:r>
            <w:r w:rsidR="00F6719E">
              <w:rPr>
                <w:webHidden/>
              </w:rPr>
              <w:t>23</w:t>
            </w:r>
            <w:r w:rsidR="00F6719E">
              <w:rPr>
                <w:webHidden/>
              </w:rPr>
              <w:fldChar w:fldCharType="end"/>
            </w:r>
          </w:hyperlink>
        </w:p>
        <w:p w14:paraId="20F3A616" w14:textId="3E0DA9B5" w:rsidR="00F6719E" w:rsidRDefault="00721599">
          <w:pPr>
            <w:pStyle w:val="TOC1"/>
            <w:rPr>
              <w:rFonts w:asciiTheme="minorHAnsi" w:eastAsiaTheme="minorEastAsia" w:hAnsiTheme="minorHAnsi" w:cstheme="minorBidi"/>
              <w:b w:val="0"/>
              <w:color w:val="auto"/>
              <w:sz w:val="22"/>
              <w:szCs w:val="22"/>
            </w:rPr>
          </w:pPr>
          <w:hyperlink w:anchor="_Toc107325316" w:history="1">
            <w:r w:rsidR="00F6719E" w:rsidRPr="008B7E69">
              <w:rPr>
                <w:rStyle w:val="Hyperlink"/>
              </w:rPr>
              <w:t>Appendix D – Sample Dashboard Reports for Large and Medium Agencies’ Transition Progress</w:t>
            </w:r>
            <w:r w:rsidR="00F6719E">
              <w:rPr>
                <w:webHidden/>
              </w:rPr>
              <w:tab/>
            </w:r>
            <w:r w:rsidR="00F6719E">
              <w:rPr>
                <w:webHidden/>
              </w:rPr>
              <w:fldChar w:fldCharType="begin"/>
            </w:r>
            <w:r w:rsidR="00F6719E">
              <w:rPr>
                <w:webHidden/>
              </w:rPr>
              <w:instrText xml:space="preserve"> PAGEREF _Toc107325316 \h </w:instrText>
            </w:r>
            <w:r w:rsidR="00F6719E">
              <w:rPr>
                <w:webHidden/>
              </w:rPr>
            </w:r>
            <w:r w:rsidR="00F6719E">
              <w:rPr>
                <w:webHidden/>
              </w:rPr>
              <w:fldChar w:fldCharType="separate"/>
            </w:r>
            <w:r w:rsidR="00F6719E">
              <w:rPr>
                <w:webHidden/>
              </w:rPr>
              <w:t>29</w:t>
            </w:r>
            <w:r w:rsidR="00F6719E">
              <w:rPr>
                <w:webHidden/>
              </w:rPr>
              <w:fldChar w:fldCharType="end"/>
            </w:r>
          </w:hyperlink>
        </w:p>
        <w:p w14:paraId="3E37612D" w14:textId="0E35A416" w:rsidR="00F6719E" w:rsidRDefault="00721599">
          <w:pPr>
            <w:pStyle w:val="TOC1"/>
            <w:rPr>
              <w:rFonts w:asciiTheme="minorHAnsi" w:eastAsiaTheme="minorEastAsia" w:hAnsiTheme="minorHAnsi" w:cstheme="minorBidi"/>
              <w:b w:val="0"/>
              <w:color w:val="auto"/>
              <w:sz w:val="22"/>
              <w:szCs w:val="22"/>
            </w:rPr>
          </w:pPr>
          <w:hyperlink w:anchor="_Toc107325317" w:history="1">
            <w:r w:rsidR="00F6719E" w:rsidRPr="008B7E69">
              <w:rPr>
                <w:rStyle w:val="Hyperlink"/>
              </w:rPr>
              <w:t>Appendix E – Agency Transition Checklist</w:t>
            </w:r>
            <w:r w:rsidR="00F6719E">
              <w:rPr>
                <w:webHidden/>
              </w:rPr>
              <w:tab/>
            </w:r>
            <w:r w:rsidR="00F6719E">
              <w:rPr>
                <w:webHidden/>
              </w:rPr>
              <w:fldChar w:fldCharType="begin"/>
            </w:r>
            <w:r w:rsidR="00F6719E">
              <w:rPr>
                <w:webHidden/>
              </w:rPr>
              <w:instrText xml:space="preserve"> PAGEREF _Toc107325317 \h </w:instrText>
            </w:r>
            <w:r w:rsidR="00F6719E">
              <w:rPr>
                <w:webHidden/>
              </w:rPr>
            </w:r>
            <w:r w:rsidR="00F6719E">
              <w:rPr>
                <w:webHidden/>
              </w:rPr>
              <w:fldChar w:fldCharType="separate"/>
            </w:r>
            <w:r w:rsidR="00F6719E">
              <w:rPr>
                <w:webHidden/>
              </w:rPr>
              <w:t>31</w:t>
            </w:r>
            <w:r w:rsidR="00F6719E">
              <w:rPr>
                <w:webHidden/>
              </w:rPr>
              <w:fldChar w:fldCharType="end"/>
            </w:r>
          </w:hyperlink>
        </w:p>
        <w:p w14:paraId="6D97C440" w14:textId="360D5624" w:rsidR="00F6719E" w:rsidRDefault="00721599">
          <w:pPr>
            <w:pStyle w:val="TOC1"/>
            <w:rPr>
              <w:rFonts w:asciiTheme="minorHAnsi" w:eastAsiaTheme="minorEastAsia" w:hAnsiTheme="minorHAnsi" w:cstheme="minorBidi"/>
              <w:b w:val="0"/>
              <w:color w:val="auto"/>
              <w:sz w:val="22"/>
              <w:szCs w:val="22"/>
            </w:rPr>
          </w:pPr>
          <w:hyperlink w:anchor="_Toc107325318" w:history="1">
            <w:r w:rsidR="00F6719E" w:rsidRPr="008B7E69">
              <w:rPr>
                <w:rStyle w:val="Hyperlink"/>
              </w:rPr>
              <w:t>Appendix F – Transition Order Sequencing</w:t>
            </w:r>
            <w:r w:rsidR="00F6719E">
              <w:rPr>
                <w:webHidden/>
              </w:rPr>
              <w:tab/>
            </w:r>
            <w:r w:rsidR="00F6719E">
              <w:rPr>
                <w:webHidden/>
              </w:rPr>
              <w:fldChar w:fldCharType="begin"/>
            </w:r>
            <w:r w:rsidR="00F6719E">
              <w:rPr>
                <w:webHidden/>
              </w:rPr>
              <w:instrText xml:space="preserve"> PAGEREF _Toc107325318 \h </w:instrText>
            </w:r>
            <w:r w:rsidR="00F6719E">
              <w:rPr>
                <w:webHidden/>
              </w:rPr>
            </w:r>
            <w:r w:rsidR="00F6719E">
              <w:rPr>
                <w:webHidden/>
              </w:rPr>
              <w:fldChar w:fldCharType="separate"/>
            </w:r>
            <w:r w:rsidR="00F6719E">
              <w:rPr>
                <w:webHidden/>
              </w:rPr>
              <w:t>35</w:t>
            </w:r>
            <w:r w:rsidR="00F6719E">
              <w:rPr>
                <w:webHidden/>
              </w:rPr>
              <w:fldChar w:fldCharType="end"/>
            </w:r>
          </w:hyperlink>
        </w:p>
        <w:p w14:paraId="7250C156" w14:textId="548E3D02" w:rsidR="00F6719E" w:rsidRDefault="00721599">
          <w:pPr>
            <w:pStyle w:val="TOC1"/>
            <w:rPr>
              <w:rFonts w:asciiTheme="minorHAnsi" w:eastAsiaTheme="minorEastAsia" w:hAnsiTheme="minorHAnsi" w:cstheme="minorBidi"/>
              <w:b w:val="0"/>
              <w:color w:val="auto"/>
              <w:sz w:val="22"/>
              <w:szCs w:val="22"/>
            </w:rPr>
          </w:pPr>
          <w:hyperlink w:anchor="_Toc107325319" w:history="1">
            <w:r w:rsidR="00F6719E" w:rsidRPr="008B7E69">
              <w:rPr>
                <w:rStyle w:val="Hyperlink"/>
              </w:rPr>
              <w:t>Appendix G – Cutover Guidance</w:t>
            </w:r>
            <w:r w:rsidR="00F6719E">
              <w:rPr>
                <w:webHidden/>
              </w:rPr>
              <w:tab/>
            </w:r>
            <w:r w:rsidR="00F6719E">
              <w:rPr>
                <w:webHidden/>
              </w:rPr>
              <w:fldChar w:fldCharType="begin"/>
            </w:r>
            <w:r w:rsidR="00F6719E">
              <w:rPr>
                <w:webHidden/>
              </w:rPr>
              <w:instrText xml:space="preserve"> PAGEREF _Toc107325319 \h </w:instrText>
            </w:r>
            <w:r w:rsidR="00F6719E">
              <w:rPr>
                <w:webHidden/>
              </w:rPr>
            </w:r>
            <w:r w:rsidR="00F6719E">
              <w:rPr>
                <w:webHidden/>
              </w:rPr>
              <w:fldChar w:fldCharType="separate"/>
            </w:r>
            <w:r w:rsidR="00F6719E">
              <w:rPr>
                <w:webHidden/>
              </w:rPr>
              <w:t>40</w:t>
            </w:r>
            <w:r w:rsidR="00F6719E">
              <w:rPr>
                <w:webHidden/>
              </w:rPr>
              <w:fldChar w:fldCharType="end"/>
            </w:r>
          </w:hyperlink>
        </w:p>
        <w:p w14:paraId="1A71B5A3" w14:textId="1F15E446" w:rsidR="00E736C8" w:rsidRDefault="00E736C8" w:rsidP="00EB1E50">
          <w:pPr>
            <w:spacing w:beforeLines="50" w:before="120"/>
          </w:pPr>
          <w:r>
            <w:rPr>
              <w:b/>
              <w:bCs/>
              <w:noProof/>
            </w:rPr>
            <w:fldChar w:fldCharType="end"/>
          </w:r>
        </w:p>
      </w:sdtContent>
    </w:sdt>
    <w:p w14:paraId="69369C3D" w14:textId="1DCAEED3" w:rsidR="007C4363" w:rsidRPr="00F07E98" w:rsidRDefault="007C4363" w:rsidP="002466A5"/>
    <w:p w14:paraId="6F14B5AF" w14:textId="77777777" w:rsidR="007C4363" w:rsidRPr="00F07E98" w:rsidRDefault="007C4363" w:rsidP="002466A5"/>
    <w:p w14:paraId="088AFF80" w14:textId="77777777" w:rsidR="007E5CED" w:rsidRPr="00F07E98" w:rsidRDefault="007E5CED" w:rsidP="002466A5"/>
    <w:p w14:paraId="57788DF7" w14:textId="77777777" w:rsidR="007E5CED" w:rsidRPr="00F07E98" w:rsidRDefault="007E5CED" w:rsidP="002466A5"/>
    <w:p w14:paraId="46EB2CF9" w14:textId="77777777" w:rsidR="00861E20" w:rsidRDefault="00861E20">
      <w:pPr>
        <w:widowControl/>
        <w:autoSpaceDE/>
        <w:autoSpaceDN/>
        <w:adjustRightInd/>
        <w:jc w:val="left"/>
      </w:pPr>
      <w:r>
        <w:br w:type="page"/>
      </w:r>
    </w:p>
    <w:p w14:paraId="47292A0B" w14:textId="77777777" w:rsidR="00C60C6F" w:rsidRDefault="00C60C6F" w:rsidP="00C60C6F">
      <w:pPr>
        <w:keepLines/>
        <w:jc w:val="center"/>
      </w:pPr>
      <w:r>
        <w:lastRenderedPageBreak/>
        <w:t>DOCUMENT CHANGE HISTORY</w:t>
      </w:r>
    </w:p>
    <w:p w14:paraId="113EBCD1" w14:textId="77777777" w:rsidR="00C60C6F" w:rsidRPr="00B36C2C" w:rsidRDefault="00C60C6F" w:rsidP="00C60C6F">
      <w:pPr>
        <w:keepLines/>
        <w:jc w:val="center"/>
      </w:pPr>
    </w:p>
    <w:tbl>
      <w:tblPr>
        <w:tblStyle w:val="GridTable4-Accent11"/>
        <w:tblW w:w="9625" w:type="dxa"/>
        <w:tblLook w:val="04A0" w:firstRow="1" w:lastRow="0" w:firstColumn="1" w:lastColumn="0" w:noHBand="0" w:noVBand="1"/>
      </w:tblPr>
      <w:tblGrid>
        <w:gridCol w:w="1010"/>
        <w:gridCol w:w="1058"/>
        <w:gridCol w:w="5329"/>
        <w:gridCol w:w="2228"/>
      </w:tblGrid>
      <w:tr w:rsidR="00C60C6F" w:rsidRPr="00677C37" w14:paraId="0D7F0D65" w14:textId="77777777" w:rsidTr="00423F5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tcPr>
          <w:p w14:paraId="2EDE6915" w14:textId="77777777" w:rsidR="00C60C6F" w:rsidRPr="00677C37" w:rsidRDefault="00C60C6F" w:rsidP="00C60C6F">
            <w:pPr>
              <w:pStyle w:val="NoblisTableText"/>
              <w:keepNext/>
              <w:keepLines/>
            </w:pPr>
            <w:r>
              <w:t>Version</w:t>
            </w:r>
          </w:p>
        </w:tc>
        <w:tc>
          <w:tcPr>
            <w:tcW w:w="0" w:type="dxa"/>
          </w:tcPr>
          <w:p w14:paraId="2572053A" w14:textId="77777777" w:rsidR="00C60C6F" w:rsidRPr="00677C37" w:rsidRDefault="00C60C6F" w:rsidP="00C60C6F">
            <w:pPr>
              <w:pStyle w:val="NoblisTableText"/>
              <w:keepNext/>
              <w:keepLines/>
              <w:cnfStyle w:val="100000000000" w:firstRow="1" w:lastRow="0" w:firstColumn="0" w:lastColumn="0" w:oddVBand="0" w:evenVBand="0" w:oddHBand="0" w:evenHBand="0" w:firstRowFirstColumn="0" w:firstRowLastColumn="0" w:lastRowFirstColumn="0" w:lastRowLastColumn="0"/>
            </w:pPr>
            <w:r>
              <w:t>Date</w:t>
            </w:r>
          </w:p>
        </w:tc>
        <w:tc>
          <w:tcPr>
            <w:tcW w:w="4950" w:type="dxa"/>
          </w:tcPr>
          <w:p w14:paraId="223F3732" w14:textId="77777777" w:rsidR="00C60C6F" w:rsidRDefault="00C60C6F" w:rsidP="00C60C6F">
            <w:pPr>
              <w:pStyle w:val="NoblisTableText"/>
              <w:keepNext/>
              <w:keepLines/>
              <w:cnfStyle w:val="100000000000" w:firstRow="1" w:lastRow="0" w:firstColumn="0" w:lastColumn="0" w:oddVBand="0" w:evenVBand="0" w:oddHBand="0" w:evenHBand="0" w:firstRowFirstColumn="0" w:firstRowLastColumn="0" w:lastRowFirstColumn="0" w:lastRowLastColumn="0"/>
            </w:pPr>
            <w:r>
              <w:t>Description</w:t>
            </w:r>
          </w:p>
        </w:tc>
        <w:tc>
          <w:tcPr>
            <w:tcW w:w="2070" w:type="dxa"/>
          </w:tcPr>
          <w:p w14:paraId="6E354AAF" w14:textId="77777777" w:rsidR="00C60C6F" w:rsidRPr="00677C37" w:rsidRDefault="00C60C6F" w:rsidP="00C60C6F">
            <w:pPr>
              <w:pStyle w:val="NoblisTableText"/>
              <w:keepNext/>
              <w:keepLines/>
              <w:cnfStyle w:val="100000000000" w:firstRow="1" w:lastRow="0" w:firstColumn="0" w:lastColumn="0" w:oddVBand="0" w:evenVBand="0" w:oddHBand="0" w:evenHBand="0" w:firstRowFirstColumn="0" w:firstRowLastColumn="0" w:lastRowFirstColumn="0" w:lastRowLastColumn="0"/>
              <w:rPr>
                <w:b w:val="0"/>
                <w:bCs w:val="0"/>
                <w:color w:val="42637A"/>
              </w:rPr>
            </w:pPr>
            <w:r>
              <w:t>Prepared by</w:t>
            </w:r>
          </w:p>
        </w:tc>
      </w:tr>
      <w:tr w:rsidR="00C60C6F" w:rsidRPr="00677C37" w14:paraId="569F7991" w14:textId="77777777" w:rsidTr="00423F5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tcPr>
          <w:p w14:paraId="5E318BDE" w14:textId="77777777" w:rsidR="00C60C6F" w:rsidRPr="00D86FD2" w:rsidRDefault="00C60C6F" w:rsidP="00C60C6F">
            <w:pPr>
              <w:pStyle w:val="NoblisTableText"/>
              <w:keepLines/>
            </w:pPr>
            <w:r w:rsidRPr="00D86FD2">
              <w:t>1.0</w:t>
            </w:r>
          </w:p>
        </w:tc>
        <w:tc>
          <w:tcPr>
            <w:tcW w:w="0" w:type="dxa"/>
          </w:tcPr>
          <w:p w14:paraId="2DCFBBFC" w14:textId="77777777" w:rsidR="00C60C6F" w:rsidRPr="003C7432" w:rsidRDefault="00C60C6F" w:rsidP="00C60C6F">
            <w:pPr>
              <w:pStyle w:val="NoblisTableText"/>
              <w:keepLines/>
              <w:cnfStyle w:val="000000100000" w:firstRow="0" w:lastRow="0" w:firstColumn="0" w:lastColumn="0" w:oddVBand="0" w:evenVBand="0" w:oddHBand="1" w:evenHBand="0" w:firstRowFirstColumn="0" w:firstRowLastColumn="0" w:lastRowFirstColumn="0" w:lastRowLastColumn="0"/>
            </w:pPr>
            <w:r>
              <w:t>8/22/14</w:t>
            </w:r>
          </w:p>
        </w:tc>
        <w:tc>
          <w:tcPr>
            <w:tcW w:w="4950" w:type="dxa"/>
          </w:tcPr>
          <w:p w14:paraId="156B8173" w14:textId="77777777" w:rsidR="00C60C6F" w:rsidRDefault="00C60C6F" w:rsidP="00C60C6F">
            <w:pPr>
              <w:pStyle w:val="NoblisTableText"/>
              <w:keepLines/>
              <w:cnfStyle w:val="000000100000" w:firstRow="0" w:lastRow="0" w:firstColumn="0" w:lastColumn="0" w:oddVBand="0" w:evenVBand="0" w:oddHBand="1" w:evenHBand="0" w:firstRowFirstColumn="0" w:firstRowLastColumn="0" w:lastRowFirstColumn="0" w:lastRowLastColumn="0"/>
            </w:pPr>
            <w:r>
              <w:t>Original Issue</w:t>
            </w:r>
          </w:p>
        </w:tc>
        <w:tc>
          <w:tcPr>
            <w:tcW w:w="2070" w:type="dxa"/>
          </w:tcPr>
          <w:p w14:paraId="5851D684" w14:textId="77777777" w:rsidR="00C60C6F" w:rsidRPr="003C7432" w:rsidRDefault="00C60C6F" w:rsidP="00C60C6F">
            <w:pPr>
              <w:pStyle w:val="NoblisTableText"/>
              <w:keepLines/>
              <w:cnfStyle w:val="000000100000" w:firstRow="0" w:lastRow="0" w:firstColumn="0" w:lastColumn="0" w:oddVBand="0" w:evenVBand="0" w:oddHBand="1" w:evenHBand="0" w:firstRowFirstColumn="0" w:firstRowLastColumn="0" w:lastRowFirstColumn="0" w:lastRowLastColumn="0"/>
              <w:rPr>
                <w:b/>
              </w:rPr>
            </w:pPr>
            <w:r w:rsidRPr="00D86FD2">
              <w:t>Debbie Hren</w:t>
            </w:r>
          </w:p>
        </w:tc>
      </w:tr>
      <w:tr w:rsidR="00C60C6F" w:rsidRPr="00677C37" w14:paraId="09A49FD5" w14:textId="77777777" w:rsidTr="00423F5F">
        <w:trPr>
          <w:cantSplit/>
        </w:trPr>
        <w:tc>
          <w:tcPr>
            <w:cnfStyle w:val="001000000000" w:firstRow="0" w:lastRow="0" w:firstColumn="1" w:lastColumn="0" w:oddVBand="0" w:evenVBand="0" w:oddHBand="0" w:evenHBand="0" w:firstRowFirstColumn="0" w:firstRowLastColumn="0" w:lastRowFirstColumn="0" w:lastRowLastColumn="0"/>
            <w:tcW w:w="0" w:type="dxa"/>
          </w:tcPr>
          <w:p w14:paraId="3F0793EE" w14:textId="77777777" w:rsidR="00C60C6F" w:rsidRPr="00D86FD2" w:rsidRDefault="00C60C6F" w:rsidP="00C60C6F">
            <w:pPr>
              <w:pStyle w:val="NoblisTableText"/>
              <w:keepLines/>
            </w:pPr>
            <w:r w:rsidRPr="00D86FD2">
              <w:t>1.1</w:t>
            </w:r>
          </w:p>
        </w:tc>
        <w:tc>
          <w:tcPr>
            <w:tcW w:w="0" w:type="dxa"/>
          </w:tcPr>
          <w:p w14:paraId="20C2ECA7" w14:textId="77777777" w:rsidR="00C60C6F" w:rsidRDefault="00C60C6F" w:rsidP="00C60C6F">
            <w:pPr>
              <w:pStyle w:val="NoblisTableText"/>
              <w:keepLines/>
              <w:cnfStyle w:val="000000000000" w:firstRow="0" w:lastRow="0" w:firstColumn="0" w:lastColumn="0" w:oddVBand="0" w:evenVBand="0" w:oddHBand="0" w:evenHBand="0" w:firstRowFirstColumn="0" w:firstRowLastColumn="0" w:lastRowFirstColumn="0" w:lastRowLastColumn="0"/>
            </w:pPr>
            <w:r>
              <w:t>4/8/16</w:t>
            </w:r>
          </w:p>
        </w:tc>
        <w:tc>
          <w:tcPr>
            <w:tcW w:w="4950" w:type="dxa"/>
          </w:tcPr>
          <w:p w14:paraId="70FD7850" w14:textId="77777777" w:rsidR="00C60C6F" w:rsidRDefault="00C60C6F" w:rsidP="00C60C6F">
            <w:pPr>
              <w:pStyle w:val="NoblisTableText"/>
              <w:keepLines/>
              <w:cnfStyle w:val="000000000000" w:firstRow="0" w:lastRow="0" w:firstColumn="0" w:lastColumn="0" w:oddVBand="0" w:evenVBand="0" w:oddHBand="0" w:evenHBand="0" w:firstRowFirstColumn="0" w:firstRowLastColumn="0" w:lastRowFirstColumn="0" w:lastRowLastColumn="0"/>
            </w:pPr>
            <w:r>
              <w:t>Updated</w:t>
            </w:r>
          </w:p>
        </w:tc>
        <w:tc>
          <w:tcPr>
            <w:tcW w:w="2070" w:type="dxa"/>
          </w:tcPr>
          <w:p w14:paraId="46FD975D" w14:textId="77777777" w:rsidR="00C60C6F" w:rsidRPr="00566AE5" w:rsidRDefault="00C60C6F" w:rsidP="00C60C6F">
            <w:pPr>
              <w:pStyle w:val="NoblisTableText"/>
              <w:keepLines/>
              <w:cnfStyle w:val="000000000000" w:firstRow="0" w:lastRow="0" w:firstColumn="0" w:lastColumn="0" w:oddVBand="0" w:evenVBand="0" w:oddHBand="0" w:evenHBand="0" w:firstRowFirstColumn="0" w:firstRowLastColumn="0" w:lastRowFirstColumn="0" w:lastRowLastColumn="0"/>
              <w:rPr>
                <w:bCs/>
              </w:rPr>
            </w:pPr>
            <w:r w:rsidRPr="00D86FD2">
              <w:t>Joe Hester</w:t>
            </w:r>
          </w:p>
        </w:tc>
      </w:tr>
      <w:tr w:rsidR="00C60C6F" w:rsidRPr="00677C37" w14:paraId="1EDD231F" w14:textId="77777777" w:rsidTr="00423F5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tcPr>
          <w:p w14:paraId="0B946814" w14:textId="77777777" w:rsidR="00C60C6F" w:rsidRPr="00D86FD2" w:rsidRDefault="00C60C6F" w:rsidP="00C60C6F">
            <w:pPr>
              <w:pStyle w:val="NoblisTableText"/>
              <w:keepLines/>
            </w:pPr>
            <w:r w:rsidRPr="00D86FD2">
              <w:t>1.2</w:t>
            </w:r>
          </w:p>
        </w:tc>
        <w:tc>
          <w:tcPr>
            <w:tcW w:w="0" w:type="dxa"/>
          </w:tcPr>
          <w:p w14:paraId="5769757F" w14:textId="77777777" w:rsidR="00C60C6F" w:rsidRDefault="00C60C6F" w:rsidP="00C60C6F">
            <w:pPr>
              <w:pStyle w:val="NoblisTableText"/>
              <w:keepLines/>
              <w:cnfStyle w:val="000000100000" w:firstRow="0" w:lastRow="0" w:firstColumn="0" w:lastColumn="0" w:oddVBand="0" w:evenVBand="0" w:oddHBand="1" w:evenHBand="0" w:firstRowFirstColumn="0" w:firstRowLastColumn="0" w:lastRowFirstColumn="0" w:lastRowLastColumn="0"/>
            </w:pPr>
            <w:r>
              <w:t>4/27/16</w:t>
            </w:r>
          </w:p>
        </w:tc>
        <w:tc>
          <w:tcPr>
            <w:tcW w:w="4950" w:type="dxa"/>
          </w:tcPr>
          <w:p w14:paraId="03CD65C1" w14:textId="77777777" w:rsidR="00C60C6F" w:rsidRPr="00D86FD2" w:rsidRDefault="00C60C6F" w:rsidP="00C60C6F">
            <w:pPr>
              <w:pStyle w:val="NoblisTableText"/>
              <w:keepLines/>
              <w:cnfStyle w:val="000000100000" w:firstRow="0" w:lastRow="0" w:firstColumn="0" w:lastColumn="0" w:oddVBand="0" w:evenVBand="0" w:oddHBand="1" w:evenHBand="0" w:firstRowFirstColumn="0" w:firstRowLastColumn="0" w:lastRowFirstColumn="0" w:lastRowLastColumn="0"/>
            </w:pPr>
            <w:r w:rsidRPr="00D86FD2">
              <w:t>Updated – incorporated GSA feedback from 4/15 email</w:t>
            </w:r>
          </w:p>
        </w:tc>
        <w:tc>
          <w:tcPr>
            <w:tcW w:w="2070" w:type="dxa"/>
          </w:tcPr>
          <w:p w14:paraId="79C53DB4" w14:textId="77777777" w:rsidR="00C60C6F" w:rsidRDefault="00C60C6F" w:rsidP="00C60C6F">
            <w:pPr>
              <w:pStyle w:val="NoblisTableText"/>
              <w:keepLines/>
              <w:cnfStyle w:val="000000100000" w:firstRow="0" w:lastRow="0" w:firstColumn="0" w:lastColumn="0" w:oddVBand="0" w:evenVBand="0" w:oddHBand="1" w:evenHBand="0" w:firstRowFirstColumn="0" w:firstRowLastColumn="0" w:lastRowFirstColumn="0" w:lastRowLastColumn="0"/>
            </w:pPr>
            <w:r w:rsidRPr="00D86FD2">
              <w:t>Chuck Brock</w:t>
            </w:r>
          </w:p>
        </w:tc>
      </w:tr>
      <w:tr w:rsidR="00C60C6F" w:rsidRPr="00677C37" w14:paraId="78DA1ECE" w14:textId="77777777" w:rsidTr="00423F5F">
        <w:trPr>
          <w:cantSplit/>
        </w:trPr>
        <w:tc>
          <w:tcPr>
            <w:cnfStyle w:val="001000000000" w:firstRow="0" w:lastRow="0" w:firstColumn="1" w:lastColumn="0" w:oddVBand="0" w:evenVBand="0" w:oddHBand="0" w:evenHBand="0" w:firstRowFirstColumn="0" w:firstRowLastColumn="0" w:lastRowFirstColumn="0" w:lastRowLastColumn="0"/>
            <w:tcW w:w="0" w:type="dxa"/>
          </w:tcPr>
          <w:p w14:paraId="24991223" w14:textId="77777777" w:rsidR="00C60C6F" w:rsidRPr="00D86FD2" w:rsidRDefault="00C60C6F" w:rsidP="00C60C6F">
            <w:pPr>
              <w:pStyle w:val="NoblisTableText"/>
              <w:keepLines/>
            </w:pPr>
            <w:r w:rsidRPr="00D86FD2">
              <w:t>1.3</w:t>
            </w:r>
          </w:p>
        </w:tc>
        <w:tc>
          <w:tcPr>
            <w:tcW w:w="0" w:type="dxa"/>
          </w:tcPr>
          <w:p w14:paraId="1F599332" w14:textId="77777777" w:rsidR="00C60C6F" w:rsidRDefault="00C60C6F" w:rsidP="00C60C6F">
            <w:pPr>
              <w:pStyle w:val="NoblisTableText"/>
              <w:keepLines/>
              <w:cnfStyle w:val="000000000000" w:firstRow="0" w:lastRow="0" w:firstColumn="0" w:lastColumn="0" w:oddVBand="0" w:evenVBand="0" w:oddHBand="0" w:evenHBand="0" w:firstRowFirstColumn="0" w:firstRowLastColumn="0" w:lastRowFirstColumn="0" w:lastRowLastColumn="0"/>
            </w:pPr>
            <w:r>
              <w:t>5/4/16</w:t>
            </w:r>
          </w:p>
        </w:tc>
        <w:tc>
          <w:tcPr>
            <w:tcW w:w="4950" w:type="dxa"/>
          </w:tcPr>
          <w:p w14:paraId="4A70ADC5" w14:textId="77777777" w:rsidR="00C60C6F" w:rsidRPr="00D86FD2" w:rsidRDefault="00C60C6F" w:rsidP="00C60C6F">
            <w:pPr>
              <w:pStyle w:val="NoblisTableText"/>
              <w:keepLines/>
              <w:cnfStyle w:val="000000000000" w:firstRow="0" w:lastRow="0" w:firstColumn="0" w:lastColumn="0" w:oddVBand="0" w:evenVBand="0" w:oddHBand="0" w:evenHBand="0" w:firstRowFirstColumn="0" w:firstRowLastColumn="0" w:lastRowFirstColumn="0" w:lastRowLastColumn="0"/>
            </w:pPr>
            <w:r w:rsidRPr="00D86FD2">
              <w:t>Updated – incorporated GSA feedback from 5/03 meeting</w:t>
            </w:r>
          </w:p>
        </w:tc>
        <w:tc>
          <w:tcPr>
            <w:tcW w:w="2070" w:type="dxa"/>
          </w:tcPr>
          <w:p w14:paraId="5FC738C7" w14:textId="77777777" w:rsidR="00C60C6F" w:rsidRDefault="00C60C6F" w:rsidP="00C60C6F">
            <w:pPr>
              <w:pStyle w:val="NoblisTableText"/>
              <w:keepLines/>
              <w:cnfStyle w:val="000000000000" w:firstRow="0" w:lastRow="0" w:firstColumn="0" w:lastColumn="0" w:oddVBand="0" w:evenVBand="0" w:oddHBand="0" w:evenHBand="0" w:firstRowFirstColumn="0" w:firstRowLastColumn="0" w:lastRowFirstColumn="0" w:lastRowLastColumn="0"/>
            </w:pPr>
            <w:r w:rsidRPr="00D86FD2">
              <w:t>Chuck Brock</w:t>
            </w:r>
          </w:p>
        </w:tc>
      </w:tr>
      <w:tr w:rsidR="00C60C6F" w:rsidRPr="00677C37" w14:paraId="00246B95" w14:textId="77777777" w:rsidTr="00423F5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tcPr>
          <w:p w14:paraId="62DCAFFB" w14:textId="77777777" w:rsidR="00C60C6F" w:rsidRPr="00D86FD2" w:rsidRDefault="00C60C6F" w:rsidP="00C60C6F">
            <w:pPr>
              <w:pStyle w:val="NoblisTableText"/>
              <w:keepLines/>
            </w:pPr>
            <w:r w:rsidRPr="00D86FD2">
              <w:t>1.4</w:t>
            </w:r>
          </w:p>
        </w:tc>
        <w:tc>
          <w:tcPr>
            <w:tcW w:w="0" w:type="dxa"/>
          </w:tcPr>
          <w:p w14:paraId="475826CC" w14:textId="77777777" w:rsidR="00C60C6F" w:rsidRDefault="00C60C6F" w:rsidP="00C60C6F">
            <w:pPr>
              <w:pStyle w:val="NoblisTableText"/>
              <w:keepLines/>
              <w:cnfStyle w:val="000000100000" w:firstRow="0" w:lastRow="0" w:firstColumn="0" w:lastColumn="0" w:oddVBand="0" w:evenVBand="0" w:oddHBand="1" w:evenHBand="0" w:firstRowFirstColumn="0" w:firstRowLastColumn="0" w:lastRowFirstColumn="0" w:lastRowLastColumn="0"/>
            </w:pPr>
            <w:r>
              <w:t>5/5/16</w:t>
            </w:r>
          </w:p>
        </w:tc>
        <w:tc>
          <w:tcPr>
            <w:tcW w:w="4950" w:type="dxa"/>
          </w:tcPr>
          <w:p w14:paraId="1BD52831" w14:textId="77777777" w:rsidR="00C60C6F" w:rsidRPr="00D86FD2" w:rsidRDefault="00C60C6F" w:rsidP="00C60C6F">
            <w:pPr>
              <w:pStyle w:val="NoblisTableText"/>
              <w:keepLines/>
              <w:cnfStyle w:val="000000100000" w:firstRow="0" w:lastRow="0" w:firstColumn="0" w:lastColumn="0" w:oddVBand="0" w:evenVBand="0" w:oddHBand="1" w:evenHBand="0" w:firstRowFirstColumn="0" w:firstRowLastColumn="0" w:lastRowFirstColumn="0" w:lastRowLastColumn="0"/>
            </w:pPr>
            <w:r>
              <w:t>Edits</w:t>
            </w:r>
            <w:r w:rsidRPr="00D86FD2">
              <w:t xml:space="preserve"> for revised submission</w:t>
            </w:r>
          </w:p>
        </w:tc>
        <w:tc>
          <w:tcPr>
            <w:tcW w:w="2070" w:type="dxa"/>
          </w:tcPr>
          <w:p w14:paraId="5B73AF99" w14:textId="77777777" w:rsidR="00C60C6F" w:rsidRDefault="00C60C6F" w:rsidP="00C60C6F">
            <w:pPr>
              <w:pStyle w:val="NoblisTableText"/>
              <w:keepLines/>
              <w:cnfStyle w:val="000000100000" w:firstRow="0" w:lastRow="0" w:firstColumn="0" w:lastColumn="0" w:oddVBand="0" w:evenVBand="0" w:oddHBand="1" w:evenHBand="0" w:firstRowFirstColumn="0" w:firstRowLastColumn="0" w:lastRowFirstColumn="0" w:lastRowLastColumn="0"/>
            </w:pPr>
            <w:r>
              <w:t>Tatia Sheptock</w:t>
            </w:r>
          </w:p>
        </w:tc>
      </w:tr>
      <w:tr w:rsidR="00C60C6F" w:rsidRPr="00677C37" w14:paraId="6F8AB094" w14:textId="77777777" w:rsidTr="00423F5F">
        <w:trPr>
          <w:cantSplit/>
        </w:trPr>
        <w:tc>
          <w:tcPr>
            <w:cnfStyle w:val="001000000000" w:firstRow="0" w:lastRow="0" w:firstColumn="1" w:lastColumn="0" w:oddVBand="0" w:evenVBand="0" w:oddHBand="0" w:evenHBand="0" w:firstRowFirstColumn="0" w:firstRowLastColumn="0" w:lastRowFirstColumn="0" w:lastRowLastColumn="0"/>
            <w:tcW w:w="0" w:type="dxa"/>
          </w:tcPr>
          <w:p w14:paraId="103FF54B" w14:textId="77777777" w:rsidR="00C60C6F" w:rsidRPr="00D86FD2" w:rsidRDefault="00C60C6F" w:rsidP="00C60C6F">
            <w:pPr>
              <w:pStyle w:val="NoblisTableText"/>
            </w:pPr>
            <w:r>
              <w:t>2.0</w:t>
            </w:r>
          </w:p>
        </w:tc>
        <w:tc>
          <w:tcPr>
            <w:tcW w:w="0" w:type="dxa"/>
          </w:tcPr>
          <w:p w14:paraId="00B200A3" w14:textId="77777777" w:rsidR="00C60C6F" w:rsidRDefault="00C53380" w:rsidP="00C60C6F">
            <w:pPr>
              <w:pStyle w:val="NoblisTableText"/>
              <w:cnfStyle w:val="000000000000" w:firstRow="0" w:lastRow="0" w:firstColumn="0" w:lastColumn="0" w:oddVBand="0" w:evenVBand="0" w:oddHBand="0" w:evenHBand="0" w:firstRowFirstColumn="0" w:firstRowLastColumn="0" w:lastRowFirstColumn="0" w:lastRowLastColumn="0"/>
            </w:pPr>
            <w:r>
              <w:t>5/31/16</w:t>
            </w:r>
          </w:p>
        </w:tc>
        <w:tc>
          <w:tcPr>
            <w:tcW w:w="4950" w:type="dxa"/>
          </w:tcPr>
          <w:p w14:paraId="47CF2C83" w14:textId="77777777" w:rsidR="00C60C6F" w:rsidRDefault="00C53380" w:rsidP="00C60C6F">
            <w:pPr>
              <w:pStyle w:val="NoblisTableText"/>
              <w:cnfStyle w:val="000000000000" w:firstRow="0" w:lastRow="0" w:firstColumn="0" w:lastColumn="0" w:oddVBand="0" w:evenVBand="0" w:oddHBand="0" w:evenHBand="0" w:firstRowFirstColumn="0" w:firstRowLastColumn="0" w:lastRowFirstColumn="0" w:lastRowLastColumn="0"/>
            </w:pPr>
            <w:r>
              <w:t xml:space="preserve">DRAFT </w:t>
            </w:r>
            <w:r w:rsidR="00C60C6F">
              <w:t>Routed for NSP and Acquisition Operations review</w:t>
            </w:r>
          </w:p>
        </w:tc>
        <w:tc>
          <w:tcPr>
            <w:tcW w:w="2070" w:type="dxa"/>
          </w:tcPr>
          <w:p w14:paraId="71EB6B92" w14:textId="77777777" w:rsidR="00C60C6F" w:rsidRDefault="00C60C6F" w:rsidP="00C60C6F">
            <w:pPr>
              <w:pStyle w:val="NoblisTableText"/>
              <w:cnfStyle w:val="000000000000" w:firstRow="0" w:lastRow="0" w:firstColumn="0" w:lastColumn="0" w:oddVBand="0" w:evenVBand="0" w:oddHBand="0" w:evenHBand="0" w:firstRowFirstColumn="0" w:firstRowLastColumn="0" w:lastRowFirstColumn="0" w:lastRowLastColumn="0"/>
            </w:pPr>
            <w:r>
              <w:t>Debbie Hren</w:t>
            </w:r>
          </w:p>
        </w:tc>
      </w:tr>
      <w:tr w:rsidR="00C53380" w:rsidRPr="00677C37" w14:paraId="633895B6" w14:textId="77777777" w:rsidTr="00423F5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tcPr>
          <w:p w14:paraId="36A51760" w14:textId="77777777" w:rsidR="00C53380" w:rsidRDefault="00C53380" w:rsidP="00C60C6F">
            <w:pPr>
              <w:pStyle w:val="NoblisTableText"/>
            </w:pPr>
            <w:r>
              <w:t>2.0</w:t>
            </w:r>
          </w:p>
        </w:tc>
        <w:tc>
          <w:tcPr>
            <w:tcW w:w="0" w:type="dxa"/>
          </w:tcPr>
          <w:p w14:paraId="767E9038" w14:textId="77777777" w:rsidR="00C53380" w:rsidRDefault="00C53380" w:rsidP="00C60C6F">
            <w:pPr>
              <w:pStyle w:val="NoblisTableText"/>
              <w:cnfStyle w:val="000000100000" w:firstRow="0" w:lastRow="0" w:firstColumn="0" w:lastColumn="0" w:oddVBand="0" w:evenVBand="0" w:oddHBand="1" w:evenHBand="0" w:firstRowFirstColumn="0" w:firstRowLastColumn="0" w:lastRowFirstColumn="0" w:lastRowLastColumn="0"/>
            </w:pPr>
            <w:r>
              <w:t>6/8/16</w:t>
            </w:r>
          </w:p>
        </w:tc>
        <w:tc>
          <w:tcPr>
            <w:tcW w:w="4950" w:type="dxa"/>
          </w:tcPr>
          <w:p w14:paraId="706FA615" w14:textId="77777777" w:rsidR="00C53380" w:rsidRDefault="00C53380" w:rsidP="00C60C6F">
            <w:pPr>
              <w:pStyle w:val="NoblisTableText"/>
              <w:cnfStyle w:val="000000100000" w:firstRow="0" w:lastRow="0" w:firstColumn="0" w:lastColumn="0" w:oddVBand="0" w:evenVBand="0" w:oddHBand="1" w:evenHBand="0" w:firstRowFirstColumn="0" w:firstRowLastColumn="0" w:lastRowFirstColumn="0" w:lastRowLastColumn="0"/>
            </w:pPr>
            <w:r>
              <w:t>Final version routed to Amando for authorization to release</w:t>
            </w:r>
          </w:p>
        </w:tc>
        <w:tc>
          <w:tcPr>
            <w:tcW w:w="2070" w:type="dxa"/>
          </w:tcPr>
          <w:p w14:paraId="064369A5" w14:textId="77777777" w:rsidR="00C53380" w:rsidRDefault="00C53380" w:rsidP="00C60C6F">
            <w:pPr>
              <w:pStyle w:val="NoblisTableText"/>
              <w:cnfStyle w:val="000000100000" w:firstRow="0" w:lastRow="0" w:firstColumn="0" w:lastColumn="0" w:oddVBand="0" w:evenVBand="0" w:oddHBand="1" w:evenHBand="0" w:firstRowFirstColumn="0" w:firstRowLastColumn="0" w:lastRowFirstColumn="0" w:lastRowLastColumn="0"/>
            </w:pPr>
            <w:r>
              <w:t>Charles Martin</w:t>
            </w:r>
          </w:p>
        </w:tc>
      </w:tr>
      <w:tr w:rsidR="00981B70" w:rsidRPr="00677C37" w14:paraId="658F95F2" w14:textId="77777777" w:rsidTr="00423F5F">
        <w:trPr>
          <w:cantSplit/>
        </w:trPr>
        <w:tc>
          <w:tcPr>
            <w:cnfStyle w:val="001000000000" w:firstRow="0" w:lastRow="0" w:firstColumn="1" w:lastColumn="0" w:oddVBand="0" w:evenVBand="0" w:oddHBand="0" w:evenHBand="0" w:firstRowFirstColumn="0" w:firstRowLastColumn="0" w:lastRowFirstColumn="0" w:lastRowLastColumn="0"/>
            <w:tcW w:w="0" w:type="dxa"/>
          </w:tcPr>
          <w:p w14:paraId="0CD45EDB" w14:textId="77777777" w:rsidR="00981B70" w:rsidRDefault="0053577C" w:rsidP="00C60C6F">
            <w:pPr>
              <w:pStyle w:val="NoblisTableText"/>
            </w:pPr>
            <w:r>
              <w:t>3.0</w:t>
            </w:r>
          </w:p>
        </w:tc>
        <w:tc>
          <w:tcPr>
            <w:tcW w:w="0" w:type="dxa"/>
          </w:tcPr>
          <w:p w14:paraId="4A47B513" w14:textId="77777777" w:rsidR="00981B70" w:rsidRDefault="00DB318E" w:rsidP="00C60C6F">
            <w:pPr>
              <w:pStyle w:val="NoblisTableText"/>
              <w:cnfStyle w:val="000000000000" w:firstRow="0" w:lastRow="0" w:firstColumn="0" w:lastColumn="0" w:oddVBand="0" w:evenVBand="0" w:oddHBand="0" w:evenHBand="0" w:firstRowFirstColumn="0" w:firstRowLastColumn="0" w:lastRowFirstColumn="0" w:lastRowLastColumn="0"/>
            </w:pPr>
            <w:r>
              <w:t>9/19/16</w:t>
            </w:r>
          </w:p>
        </w:tc>
        <w:tc>
          <w:tcPr>
            <w:tcW w:w="4950" w:type="dxa"/>
          </w:tcPr>
          <w:p w14:paraId="3BFA789D" w14:textId="66C6F53A" w:rsidR="00981B70" w:rsidRDefault="00981B70" w:rsidP="00DB318E">
            <w:pPr>
              <w:pStyle w:val="NoblisTableText"/>
              <w:cnfStyle w:val="000000000000" w:firstRow="0" w:lastRow="0" w:firstColumn="0" w:lastColumn="0" w:oddVBand="0" w:evenVBand="0" w:oddHBand="0" w:evenHBand="0" w:firstRowFirstColumn="0" w:firstRowLastColumn="0" w:lastRowFirstColumn="0" w:lastRowLastColumn="0"/>
            </w:pPr>
            <w:r>
              <w:t xml:space="preserve">Edited to reflect </w:t>
            </w:r>
            <w:r w:rsidR="0053577C">
              <w:t xml:space="preserve">GSA realignment and new schedule for </w:t>
            </w:r>
            <w:r>
              <w:t xml:space="preserve">EIS </w:t>
            </w:r>
            <w:r w:rsidR="000F448E">
              <w:t>contract a</w:t>
            </w:r>
            <w:r>
              <w:t>ward</w:t>
            </w:r>
            <w:r w:rsidR="00DB318E">
              <w:t xml:space="preserve">. Additional detail provided on how to submit </w:t>
            </w:r>
            <w:r w:rsidR="008446AA">
              <w:t>ATPs in Sections 4.1 and 7</w:t>
            </w:r>
            <w:r w:rsidR="00CF400C">
              <w:t xml:space="preserve">.  </w:t>
            </w:r>
            <w:r w:rsidR="00CF400C" w:rsidRPr="00CF400C">
              <w:rPr>
                <w:i/>
              </w:rPr>
              <w:t>This version not published external to TCC.</w:t>
            </w:r>
          </w:p>
        </w:tc>
        <w:tc>
          <w:tcPr>
            <w:tcW w:w="2070" w:type="dxa"/>
          </w:tcPr>
          <w:p w14:paraId="12F1E94B" w14:textId="77777777" w:rsidR="00981B70" w:rsidRDefault="00981B70" w:rsidP="00C60C6F">
            <w:pPr>
              <w:pStyle w:val="NoblisTableText"/>
              <w:cnfStyle w:val="000000000000" w:firstRow="0" w:lastRow="0" w:firstColumn="0" w:lastColumn="0" w:oddVBand="0" w:evenVBand="0" w:oddHBand="0" w:evenHBand="0" w:firstRowFirstColumn="0" w:firstRowLastColumn="0" w:lastRowFirstColumn="0" w:lastRowLastColumn="0"/>
            </w:pPr>
            <w:r>
              <w:t>Scott Sizemore</w:t>
            </w:r>
          </w:p>
        </w:tc>
      </w:tr>
      <w:tr w:rsidR="00F311F8" w:rsidRPr="00677C37" w14:paraId="6B2E35FE" w14:textId="77777777" w:rsidTr="00423F5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tcPr>
          <w:p w14:paraId="50784B7D" w14:textId="77777777" w:rsidR="00F311F8" w:rsidRDefault="00094A82" w:rsidP="00C60C6F">
            <w:pPr>
              <w:pStyle w:val="NoblisTableText"/>
            </w:pPr>
            <w:r>
              <w:t>4.0</w:t>
            </w:r>
          </w:p>
        </w:tc>
        <w:tc>
          <w:tcPr>
            <w:tcW w:w="0" w:type="dxa"/>
          </w:tcPr>
          <w:p w14:paraId="31F4EDCD" w14:textId="77777777" w:rsidR="00F311F8" w:rsidRDefault="00C55B7C" w:rsidP="00C55B7C">
            <w:pPr>
              <w:pStyle w:val="NoblisTableText"/>
              <w:cnfStyle w:val="000000100000" w:firstRow="0" w:lastRow="0" w:firstColumn="0" w:lastColumn="0" w:oddVBand="0" w:evenVBand="0" w:oddHBand="1" w:evenHBand="0" w:firstRowFirstColumn="0" w:firstRowLastColumn="0" w:lastRowFirstColumn="0" w:lastRowLastColumn="0"/>
            </w:pPr>
            <w:r>
              <w:t>3</w:t>
            </w:r>
            <w:r w:rsidR="00094A82">
              <w:t>/</w:t>
            </w:r>
            <w:r w:rsidR="0034032D">
              <w:t>10</w:t>
            </w:r>
            <w:r w:rsidR="00094A82">
              <w:t>/17</w:t>
            </w:r>
          </w:p>
        </w:tc>
        <w:tc>
          <w:tcPr>
            <w:tcW w:w="4950" w:type="dxa"/>
          </w:tcPr>
          <w:p w14:paraId="1C53A0D3" w14:textId="03C71AEA" w:rsidR="00F311F8" w:rsidRDefault="00C55B7C" w:rsidP="0034032D">
            <w:pPr>
              <w:pStyle w:val="NoblisTableText"/>
              <w:cnfStyle w:val="000000100000" w:firstRow="0" w:lastRow="0" w:firstColumn="0" w:lastColumn="0" w:oddVBand="0" w:evenVBand="0" w:oddHBand="1" w:evenHBand="0" w:firstRowFirstColumn="0" w:firstRowLastColumn="0" w:lastRowFirstColumn="0" w:lastRowLastColumn="0"/>
            </w:pPr>
            <w:r>
              <w:t>Update</w:t>
            </w:r>
            <w:r w:rsidR="00AD5E1B">
              <w:t>d</w:t>
            </w:r>
            <w:r>
              <w:t xml:space="preserve"> to reflect GSA</w:t>
            </w:r>
            <w:r w:rsidR="00F311F8">
              <w:t xml:space="preserve"> realignment,</w:t>
            </w:r>
            <w:r w:rsidR="002449D4">
              <w:t xml:space="preserve"> </w:t>
            </w:r>
            <w:r w:rsidR="0034032D">
              <w:t>share</w:t>
            </w:r>
            <w:r w:rsidR="00AD5E1B">
              <w:t>d</w:t>
            </w:r>
            <w:r w:rsidR="0097702B">
              <w:t xml:space="preserve"> </w:t>
            </w:r>
            <w:r w:rsidR="0034032D">
              <w:t xml:space="preserve">FTS2001 to </w:t>
            </w:r>
            <w:r w:rsidR="0097702B">
              <w:t>Networx l</w:t>
            </w:r>
            <w:r w:rsidR="002449D4">
              <w:t>essons learned</w:t>
            </w:r>
            <w:r w:rsidR="008E4FC1">
              <w:t xml:space="preserve">; </w:t>
            </w:r>
            <w:r w:rsidR="00491739">
              <w:t>update</w:t>
            </w:r>
            <w:r w:rsidR="00AD5E1B">
              <w:t>d</w:t>
            </w:r>
            <w:r w:rsidR="00765D23">
              <w:t xml:space="preserve"> for MOPS and ordering guides;</w:t>
            </w:r>
            <w:r w:rsidR="00491739">
              <w:t xml:space="preserve"> provide</w:t>
            </w:r>
            <w:r w:rsidR="00AD5E1B">
              <w:t>d</w:t>
            </w:r>
            <w:r w:rsidR="00765D23">
              <w:t xml:space="preserve"> sample dashboard reports;</w:t>
            </w:r>
            <w:r w:rsidR="00491739">
              <w:t xml:space="preserve"> </w:t>
            </w:r>
            <w:r w:rsidR="00431DB7">
              <w:t>add</w:t>
            </w:r>
            <w:r w:rsidR="00C82A41">
              <w:t>ed</w:t>
            </w:r>
            <w:r w:rsidR="006F5C77">
              <w:t xml:space="preserve"> Transition Checklist</w:t>
            </w:r>
            <w:r w:rsidR="00CF400C">
              <w:t xml:space="preserve">. </w:t>
            </w:r>
            <w:r w:rsidR="00CF400C" w:rsidRPr="00CF400C">
              <w:rPr>
                <w:i/>
              </w:rPr>
              <w:t>This version not published external to TCC.</w:t>
            </w:r>
          </w:p>
        </w:tc>
        <w:tc>
          <w:tcPr>
            <w:tcW w:w="2070" w:type="dxa"/>
          </w:tcPr>
          <w:p w14:paraId="4F4D7FD7" w14:textId="77777777" w:rsidR="00F311F8" w:rsidRDefault="00B56C39" w:rsidP="0097702B">
            <w:pPr>
              <w:pStyle w:val="NoblisTableText"/>
              <w:cnfStyle w:val="000000100000" w:firstRow="0" w:lastRow="0" w:firstColumn="0" w:lastColumn="0" w:oddVBand="0" w:evenVBand="0" w:oddHBand="1" w:evenHBand="0" w:firstRowFirstColumn="0" w:firstRowLastColumn="0" w:lastRowFirstColumn="0" w:lastRowLastColumn="0"/>
            </w:pPr>
            <w:r>
              <w:t>Debbie Hren</w:t>
            </w:r>
            <w:r w:rsidR="0097702B">
              <w:t>/</w:t>
            </w:r>
            <w:r w:rsidR="006F5C77">
              <w:t>Scott Sizemore</w:t>
            </w:r>
          </w:p>
        </w:tc>
      </w:tr>
      <w:tr w:rsidR="000E2DC6" w:rsidRPr="00677C37" w14:paraId="6A1859BB" w14:textId="77777777" w:rsidTr="00423F5F">
        <w:trPr>
          <w:cantSplit/>
        </w:trPr>
        <w:tc>
          <w:tcPr>
            <w:cnfStyle w:val="001000000000" w:firstRow="0" w:lastRow="0" w:firstColumn="1" w:lastColumn="0" w:oddVBand="0" w:evenVBand="0" w:oddHBand="0" w:evenHBand="0" w:firstRowFirstColumn="0" w:firstRowLastColumn="0" w:lastRowFirstColumn="0" w:lastRowLastColumn="0"/>
            <w:tcW w:w="0" w:type="dxa"/>
          </w:tcPr>
          <w:p w14:paraId="66DA37C6" w14:textId="77777777" w:rsidR="000E2DC6" w:rsidRDefault="000E2DC6" w:rsidP="00C60C6F">
            <w:pPr>
              <w:pStyle w:val="NoblisTableText"/>
            </w:pPr>
            <w:r>
              <w:t>4.1</w:t>
            </w:r>
          </w:p>
        </w:tc>
        <w:tc>
          <w:tcPr>
            <w:tcW w:w="0" w:type="dxa"/>
          </w:tcPr>
          <w:p w14:paraId="5C9A9359" w14:textId="77777777" w:rsidR="000E2DC6" w:rsidRDefault="000E2DC6" w:rsidP="000E2DC6">
            <w:pPr>
              <w:pStyle w:val="NoblisTableText"/>
              <w:cnfStyle w:val="000000000000" w:firstRow="0" w:lastRow="0" w:firstColumn="0" w:lastColumn="0" w:oddVBand="0" w:evenVBand="0" w:oddHBand="0" w:evenHBand="0" w:firstRowFirstColumn="0" w:firstRowLastColumn="0" w:lastRowFirstColumn="0" w:lastRowLastColumn="0"/>
            </w:pPr>
            <w:r>
              <w:t>5/4/17</w:t>
            </w:r>
          </w:p>
        </w:tc>
        <w:tc>
          <w:tcPr>
            <w:tcW w:w="4950" w:type="dxa"/>
          </w:tcPr>
          <w:p w14:paraId="3113B72B" w14:textId="3440CDC2" w:rsidR="000E2DC6" w:rsidRDefault="008446AA" w:rsidP="000656FA">
            <w:pPr>
              <w:pStyle w:val="NoblisTableText"/>
              <w:cnfStyle w:val="000000000000" w:firstRow="0" w:lastRow="0" w:firstColumn="0" w:lastColumn="0" w:oddVBand="0" w:evenVBand="0" w:oddHBand="0" w:evenHBand="0" w:firstRowFirstColumn="0" w:firstRowLastColumn="0" w:lastRowFirstColumn="0" w:lastRowLastColumn="0"/>
            </w:pPr>
            <w:r>
              <w:t>E</w:t>
            </w:r>
            <w:r w:rsidR="000E2DC6">
              <w:t>xpanded Transition Checklist</w:t>
            </w:r>
            <w:r>
              <w:t xml:space="preserve"> in Appendix E</w:t>
            </w:r>
            <w:r w:rsidR="00977133">
              <w:t>, updated Full Service transition Section 5.4, and added description of All Agency Inventory Section 7.2</w:t>
            </w:r>
            <w:r w:rsidR="00FC09AA">
              <w:t>.  Version submitted for OTS CCB review.</w:t>
            </w:r>
          </w:p>
        </w:tc>
        <w:tc>
          <w:tcPr>
            <w:tcW w:w="2070" w:type="dxa"/>
          </w:tcPr>
          <w:p w14:paraId="5C66AD6F" w14:textId="77777777" w:rsidR="000E2DC6" w:rsidRDefault="000E2DC6" w:rsidP="0097702B">
            <w:pPr>
              <w:pStyle w:val="NoblisTableText"/>
              <w:cnfStyle w:val="000000000000" w:firstRow="0" w:lastRow="0" w:firstColumn="0" w:lastColumn="0" w:oddVBand="0" w:evenVBand="0" w:oddHBand="0" w:evenHBand="0" w:firstRowFirstColumn="0" w:firstRowLastColumn="0" w:lastRowFirstColumn="0" w:lastRowLastColumn="0"/>
            </w:pPr>
            <w:r>
              <w:t>Tatia Sheptock</w:t>
            </w:r>
            <w:r w:rsidR="00977133">
              <w:t>/Debbie Hren</w:t>
            </w:r>
          </w:p>
        </w:tc>
      </w:tr>
      <w:tr w:rsidR="003726ED" w:rsidRPr="00677C37" w14:paraId="58776207" w14:textId="77777777" w:rsidTr="00423F5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tcPr>
          <w:p w14:paraId="2CBC285B" w14:textId="2C839041" w:rsidR="003726ED" w:rsidRDefault="0033652F" w:rsidP="00C60C6F">
            <w:pPr>
              <w:pStyle w:val="NoblisTableText"/>
            </w:pPr>
            <w:r>
              <w:t>5.0</w:t>
            </w:r>
          </w:p>
        </w:tc>
        <w:tc>
          <w:tcPr>
            <w:tcW w:w="0" w:type="dxa"/>
          </w:tcPr>
          <w:p w14:paraId="4964F84F" w14:textId="4B23AD23" w:rsidR="003726ED" w:rsidRDefault="00D013B0" w:rsidP="00D013B0">
            <w:pPr>
              <w:pStyle w:val="NoblisTableText"/>
              <w:cnfStyle w:val="000000100000" w:firstRow="0" w:lastRow="0" w:firstColumn="0" w:lastColumn="0" w:oddVBand="0" w:evenVBand="0" w:oddHBand="1" w:evenHBand="0" w:firstRowFirstColumn="0" w:firstRowLastColumn="0" w:lastRowFirstColumn="0" w:lastRowLastColumn="0"/>
            </w:pPr>
            <w:r>
              <w:t>11/14</w:t>
            </w:r>
            <w:r w:rsidR="003726ED">
              <w:t>/17</w:t>
            </w:r>
          </w:p>
        </w:tc>
        <w:tc>
          <w:tcPr>
            <w:tcW w:w="4950" w:type="dxa"/>
          </w:tcPr>
          <w:p w14:paraId="4196D2F4" w14:textId="2BDD019F" w:rsidR="003726ED" w:rsidRDefault="003726ED" w:rsidP="000656FA">
            <w:pPr>
              <w:pStyle w:val="NoblisTableText"/>
              <w:cnfStyle w:val="000000100000" w:firstRow="0" w:lastRow="0" w:firstColumn="0" w:lastColumn="0" w:oddVBand="0" w:evenVBand="0" w:oddHBand="1" w:evenHBand="0" w:firstRowFirstColumn="0" w:firstRowLastColumn="0" w:lastRowFirstColumn="0" w:lastRowLastColumn="0"/>
            </w:pPr>
            <w:r>
              <w:t>Incorporated changes to EIS Transition Timeline and phase gate target dates</w:t>
            </w:r>
            <w:r w:rsidR="00932810">
              <w:t xml:space="preserve"> and changes to full service transition</w:t>
            </w:r>
            <w:r>
              <w:t>.  Included various edits from OTS CCB review.</w:t>
            </w:r>
          </w:p>
        </w:tc>
        <w:tc>
          <w:tcPr>
            <w:tcW w:w="2070" w:type="dxa"/>
          </w:tcPr>
          <w:p w14:paraId="5227B5D4" w14:textId="12731332" w:rsidR="003726ED" w:rsidRDefault="003726ED" w:rsidP="0097702B">
            <w:pPr>
              <w:pStyle w:val="NoblisTableText"/>
              <w:cnfStyle w:val="000000100000" w:firstRow="0" w:lastRow="0" w:firstColumn="0" w:lastColumn="0" w:oddVBand="0" w:evenVBand="0" w:oddHBand="1" w:evenHBand="0" w:firstRowFirstColumn="0" w:firstRowLastColumn="0" w:lastRowFirstColumn="0" w:lastRowLastColumn="0"/>
            </w:pPr>
            <w:r>
              <w:t>Debbie Hren</w:t>
            </w:r>
          </w:p>
        </w:tc>
      </w:tr>
      <w:tr w:rsidR="00727E4D" w:rsidRPr="00677C37" w14:paraId="4C220ED0" w14:textId="77777777" w:rsidTr="00423F5F">
        <w:trPr>
          <w:cantSplit/>
        </w:trPr>
        <w:tc>
          <w:tcPr>
            <w:cnfStyle w:val="001000000000" w:firstRow="0" w:lastRow="0" w:firstColumn="1" w:lastColumn="0" w:oddVBand="0" w:evenVBand="0" w:oddHBand="0" w:evenHBand="0" w:firstRowFirstColumn="0" w:firstRowLastColumn="0" w:lastRowFirstColumn="0" w:lastRowLastColumn="0"/>
            <w:tcW w:w="0" w:type="dxa"/>
          </w:tcPr>
          <w:p w14:paraId="3E07A86A" w14:textId="519F2152" w:rsidR="00727E4D" w:rsidRDefault="00727E4D" w:rsidP="00C60C6F">
            <w:pPr>
              <w:pStyle w:val="NoblisTableText"/>
            </w:pPr>
            <w:r>
              <w:t>6.0</w:t>
            </w:r>
          </w:p>
        </w:tc>
        <w:tc>
          <w:tcPr>
            <w:tcW w:w="0" w:type="dxa"/>
          </w:tcPr>
          <w:p w14:paraId="46D4C65F" w14:textId="2181BD46" w:rsidR="00727E4D" w:rsidRDefault="00D46832" w:rsidP="00D013B0">
            <w:pPr>
              <w:pStyle w:val="NoblisTableText"/>
              <w:cnfStyle w:val="000000000000" w:firstRow="0" w:lastRow="0" w:firstColumn="0" w:lastColumn="0" w:oddVBand="0" w:evenVBand="0" w:oddHBand="0" w:evenHBand="0" w:firstRowFirstColumn="0" w:firstRowLastColumn="0" w:lastRowFirstColumn="0" w:lastRowLastColumn="0"/>
            </w:pPr>
            <w:r>
              <w:t>6/27/19</w:t>
            </w:r>
          </w:p>
        </w:tc>
        <w:tc>
          <w:tcPr>
            <w:tcW w:w="4950" w:type="dxa"/>
          </w:tcPr>
          <w:p w14:paraId="6BCAF882" w14:textId="41AE59C7" w:rsidR="00727E4D" w:rsidRDefault="002A32E6" w:rsidP="000656FA">
            <w:pPr>
              <w:pStyle w:val="NoblisTableText"/>
              <w:cnfStyle w:val="000000000000" w:firstRow="0" w:lastRow="0" w:firstColumn="0" w:lastColumn="0" w:oddVBand="0" w:evenVBand="0" w:oddHBand="0" w:evenHBand="0" w:firstRowFirstColumn="0" w:firstRowLastColumn="0" w:lastRowFirstColumn="0" w:lastRowLastColumn="0"/>
            </w:pPr>
            <w:r>
              <w:t>Added Appendices F and G</w:t>
            </w:r>
            <w:r w:rsidR="0040633F">
              <w:t>;</w:t>
            </w:r>
            <w:r>
              <w:t xml:space="preserve"> Updated transition timeline</w:t>
            </w:r>
            <w:r w:rsidR="0040633F">
              <w:t xml:space="preserve">; Added EIS Bulletins in </w:t>
            </w:r>
            <w:r w:rsidR="00F63847">
              <w:t xml:space="preserve">Section </w:t>
            </w:r>
            <w:r w:rsidR="0040633F">
              <w:t>8.6</w:t>
            </w:r>
            <w:r w:rsidR="00E042F9">
              <w:t>; numerous, minor editorial edits</w:t>
            </w:r>
          </w:p>
        </w:tc>
        <w:tc>
          <w:tcPr>
            <w:tcW w:w="2070" w:type="dxa"/>
          </w:tcPr>
          <w:p w14:paraId="64AC96CC" w14:textId="028951C3" w:rsidR="00727E4D" w:rsidRDefault="00ED2CD0" w:rsidP="0097702B">
            <w:pPr>
              <w:pStyle w:val="NoblisTableText"/>
              <w:cnfStyle w:val="000000000000" w:firstRow="0" w:lastRow="0" w:firstColumn="0" w:lastColumn="0" w:oddVBand="0" w:evenVBand="0" w:oddHBand="0" w:evenHBand="0" w:firstRowFirstColumn="0" w:firstRowLastColumn="0" w:lastRowFirstColumn="0" w:lastRowLastColumn="0"/>
            </w:pPr>
            <w:r>
              <w:t>Scott Sizemore</w:t>
            </w:r>
          </w:p>
        </w:tc>
      </w:tr>
      <w:tr w:rsidR="00E042F9" w:rsidRPr="00677C37" w14:paraId="3CE74BA0" w14:textId="77777777" w:rsidTr="00423F5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tcPr>
          <w:p w14:paraId="25C4FB59" w14:textId="104D119E" w:rsidR="00E042F9" w:rsidRDefault="00E042F9" w:rsidP="00C60C6F">
            <w:pPr>
              <w:pStyle w:val="NoblisTableText"/>
            </w:pPr>
            <w:r>
              <w:t>6.5</w:t>
            </w:r>
          </w:p>
        </w:tc>
        <w:tc>
          <w:tcPr>
            <w:tcW w:w="0" w:type="dxa"/>
          </w:tcPr>
          <w:p w14:paraId="10EB4327" w14:textId="096F66B8" w:rsidR="00E042F9" w:rsidRDefault="00E436C5" w:rsidP="00D013B0">
            <w:pPr>
              <w:pStyle w:val="NoblisTableText"/>
              <w:cnfStyle w:val="000000100000" w:firstRow="0" w:lastRow="0" w:firstColumn="0" w:lastColumn="0" w:oddVBand="0" w:evenVBand="0" w:oddHBand="1" w:evenHBand="0" w:firstRowFirstColumn="0" w:firstRowLastColumn="0" w:lastRowFirstColumn="0" w:lastRowLastColumn="0"/>
            </w:pPr>
            <w:r>
              <w:t>8/27</w:t>
            </w:r>
            <w:r w:rsidR="003D5EA0">
              <w:t>/19</w:t>
            </w:r>
          </w:p>
        </w:tc>
        <w:tc>
          <w:tcPr>
            <w:tcW w:w="4950" w:type="dxa"/>
          </w:tcPr>
          <w:p w14:paraId="2C7BDD07" w14:textId="5CD5B226" w:rsidR="00E042F9" w:rsidRDefault="00E042F9" w:rsidP="000656FA">
            <w:pPr>
              <w:pStyle w:val="NoblisTableText"/>
              <w:cnfStyle w:val="000000100000" w:firstRow="0" w:lastRow="0" w:firstColumn="0" w:lastColumn="0" w:oddVBand="0" w:evenVBand="0" w:oddHBand="1" w:evenHBand="0" w:firstRowFirstColumn="0" w:firstRowLastColumn="0" w:lastRowFirstColumn="0" w:lastRowLastColumn="0"/>
            </w:pPr>
            <w:r>
              <w:t>Edited terminology for accuracy</w:t>
            </w:r>
          </w:p>
        </w:tc>
        <w:tc>
          <w:tcPr>
            <w:tcW w:w="2070" w:type="dxa"/>
          </w:tcPr>
          <w:p w14:paraId="26DB0F51" w14:textId="009B9D40" w:rsidR="00E042F9" w:rsidRDefault="00E042F9" w:rsidP="0097702B">
            <w:pPr>
              <w:pStyle w:val="NoblisTableText"/>
              <w:cnfStyle w:val="000000100000" w:firstRow="0" w:lastRow="0" w:firstColumn="0" w:lastColumn="0" w:oddVBand="0" w:evenVBand="0" w:oddHBand="1" w:evenHBand="0" w:firstRowFirstColumn="0" w:firstRowLastColumn="0" w:lastRowFirstColumn="0" w:lastRowLastColumn="0"/>
            </w:pPr>
            <w:r>
              <w:t>Debbie Hren</w:t>
            </w:r>
          </w:p>
        </w:tc>
      </w:tr>
      <w:tr w:rsidR="00FE5C2D" w:rsidRPr="00677C37" w14:paraId="2941FB6A" w14:textId="77777777" w:rsidTr="008E1AD4">
        <w:trPr>
          <w:cantSplit/>
        </w:trPr>
        <w:tc>
          <w:tcPr>
            <w:cnfStyle w:val="001000000000" w:firstRow="0" w:lastRow="0" w:firstColumn="1" w:lastColumn="0" w:oddVBand="0" w:evenVBand="0" w:oddHBand="0" w:evenHBand="0" w:firstRowFirstColumn="0" w:firstRowLastColumn="0" w:lastRowFirstColumn="0" w:lastRowLastColumn="0"/>
            <w:tcW w:w="0" w:type="dxa"/>
          </w:tcPr>
          <w:p w14:paraId="7CA4186F" w14:textId="417B8120" w:rsidR="00BE1FCA" w:rsidRDefault="00BE1FCA" w:rsidP="00C60C6F">
            <w:pPr>
              <w:pStyle w:val="NoblisTableText"/>
            </w:pPr>
            <w:r>
              <w:t>7.0</w:t>
            </w:r>
          </w:p>
        </w:tc>
        <w:tc>
          <w:tcPr>
            <w:tcW w:w="0" w:type="dxa"/>
          </w:tcPr>
          <w:p w14:paraId="3E4A5A9A" w14:textId="72DF788C" w:rsidR="00BE1FCA" w:rsidRDefault="00423F5F" w:rsidP="00D013B0">
            <w:pPr>
              <w:pStyle w:val="NoblisTableText"/>
              <w:cnfStyle w:val="000000000000" w:firstRow="0" w:lastRow="0" w:firstColumn="0" w:lastColumn="0" w:oddVBand="0" w:evenVBand="0" w:oddHBand="0" w:evenHBand="0" w:firstRowFirstColumn="0" w:firstRowLastColumn="0" w:lastRowFirstColumn="0" w:lastRowLastColumn="0"/>
            </w:pPr>
            <w:r>
              <w:t>6/8</w:t>
            </w:r>
            <w:r w:rsidR="00BE1FCA">
              <w:t>/22</w:t>
            </w:r>
          </w:p>
        </w:tc>
        <w:tc>
          <w:tcPr>
            <w:tcW w:w="4950" w:type="dxa"/>
          </w:tcPr>
          <w:p w14:paraId="45829E96" w14:textId="262F32DF" w:rsidR="00BE1FCA" w:rsidRDefault="00BE1FCA" w:rsidP="002A7B60">
            <w:pPr>
              <w:pStyle w:val="NoblisTableText"/>
              <w:cnfStyle w:val="000000000000" w:firstRow="0" w:lastRow="0" w:firstColumn="0" w:lastColumn="0" w:oddVBand="0" w:evenVBand="0" w:oddHBand="0" w:evenHBand="0" w:firstRowFirstColumn="0" w:firstRowLastColumn="0" w:lastRowFirstColumn="0" w:lastRowLastColumn="0"/>
            </w:pPr>
            <w:r>
              <w:t>Update</w:t>
            </w:r>
            <w:r w:rsidR="004978CE">
              <w:t>d</w:t>
            </w:r>
            <w:r>
              <w:t xml:space="preserve"> </w:t>
            </w:r>
            <w:r w:rsidR="005E7437">
              <w:t>background</w:t>
            </w:r>
            <w:r w:rsidR="006A5CF0">
              <w:t xml:space="preserve"> to include the </w:t>
            </w:r>
            <w:r w:rsidR="00BB782B">
              <w:t>c</w:t>
            </w:r>
            <w:r w:rsidR="006A5CF0">
              <w:t xml:space="preserve">ontinuity of </w:t>
            </w:r>
            <w:r w:rsidR="00BB782B">
              <w:t>s</w:t>
            </w:r>
            <w:r w:rsidR="006A5CF0">
              <w:t xml:space="preserve">ervice period; Updated </w:t>
            </w:r>
            <w:r>
              <w:t>terminology</w:t>
            </w:r>
            <w:r w:rsidR="00510593">
              <w:t xml:space="preserve"> from</w:t>
            </w:r>
            <w:r w:rsidR="00C14BEC">
              <w:t xml:space="preserve"> previous</w:t>
            </w:r>
            <w:r w:rsidR="00510593">
              <w:t xml:space="preserve"> GSA reorganization</w:t>
            </w:r>
            <w:r w:rsidR="008E1AD4">
              <w:t xml:space="preserve"> throughout</w:t>
            </w:r>
            <w:r w:rsidR="00510593">
              <w:t xml:space="preserve">; </w:t>
            </w:r>
            <w:r>
              <w:t>Update</w:t>
            </w:r>
            <w:r w:rsidR="004978CE">
              <w:t>d</w:t>
            </w:r>
            <w:r>
              <w:t xml:space="preserve"> </w:t>
            </w:r>
            <w:r w:rsidR="00C14BEC">
              <w:t>T</w:t>
            </w:r>
            <w:r w:rsidR="006A5CF0">
              <w:t xml:space="preserve">ransition </w:t>
            </w:r>
            <w:r w:rsidR="00C14BEC">
              <w:t>T</w:t>
            </w:r>
            <w:r w:rsidR="006A5CF0">
              <w:t xml:space="preserve">imeline; </w:t>
            </w:r>
            <w:r w:rsidR="00424C74">
              <w:t>Updated</w:t>
            </w:r>
            <w:r w:rsidR="005E7437">
              <w:t xml:space="preserve"> Section 7.4</w:t>
            </w:r>
            <w:r w:rsidR="00424C74">
              <w:t xml:space="preserve"> to include available agency support</w:t>
            </w:r>
            <w:r w:rsidR="008E1AD4">
              <w:t xml:space="preserve"> and training resources</w:t>
            </w:r>
            <w:r w:rsidR="005E7437">
              <w:t xml:space="preserve">; </w:t>
            </w:r>
            <w:r w:rsidR="0049548D">
              <w:t xml:space="preserve">Updated EIS RFP location to SAM.gov; </w:t>
            </w:r>
            <w:r w:rsidR="009D181C">
              <w:t>Added third party contracting support as a consideration in Table F-1 (Appx F)</w:t>
            </w:r>
          </w:p>
        </w:tc>
        <w:tc>
          <w:tcPr>
            <w:tcW w:w="2070" w:type="dxa"/>
          </w:tcPr>
          <w:p w14:paraId="3F0AB5C3" w14:textId="16F0EB4F" w:rsidR="00BE1FCA" w:rsidRDefault="00C14BEC" w:rsidP="00BB782B">
            <w:pPr>
              <w:pStyle w:val="NoblisTableText"/>
              <w:jc w:val="left"/>
              <w:cnfStyle w:val="000000000000" w:firstRow="0" w:lastRow="0" w:firstColumn="0" w:lastColumn="0" w:oddVBand="0" w:evenVBand="0" w:oddHBand="0" w:evenHBand="0" w:firstRowFirstColumn="0" w:firstRowLastColumn="0" w:lastRowFirstColumn="0" w:lastRowLastColumn="0"/>
            </w:pPr>
            <w:r>
              <w:t>Chris Hamby/Tatia Sheptock</w:t>
            </w:r>
          </w:p>
        </w:tc>
      </w:tr>
      <w:tr w:rsidR="00BD03E9" w:rsidRPr="00677C37" w14:paraId="198FBEB9" w14:textId="77777777" w:rsidTr="008E1AD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tcPr>
          <w:p w14:paraId="110FC22B" w14:textId="54A0F9C8" w:rsidR="00BD03E9" w:rsidRDefault="00BD03E9" w:rsidP="00C60C6F">
            <w:pPr>
              <w:pStyle w:val="NoblisTableText"/>
            </w:pPr>
            <w:r>
              <w:t>7.1</w:t>
            </w:r>
          </w:p>
        </w:tc>
        <w:tc>
          <w:tcPr>
            <w:tcW w:w="0" w:type="dxa"/>
          </w:tcPr>
          <w:p w14:paraId="2498AACA" w14:textId="38EEA837" w:rsidR="00BD03E9" w:rsidRDefault="00BD03E9" w:rsidP="00D013B0">
            <w:pPr>
              <w:pStyle w:val="NoblisTableText"/>
              <w:cnfStyle w:val="000000100000" w:firstRow="0" w:lastRow="0" w:firstColumn="0" w:lastColumn="0" w:oddVBand="0" w:evenVBand="0" w:oddHBand="1" w:evenHBand="0" w:firstRowFirstColumn="0" w:firstRowLastColumn="0" w:lastRowFirstColumn="0" w:lastRowLastColumn="0"/>
            </w:pPr>
            <w:r>
              <w:t>6/28/22</w:t>
            </w:r>
          </w:p>
        </w:tc>
        <w:tc>
          <w:tcPr>
            <w:tcW w:w="4950" w:type="dxa"/>
          </w:tcPr>
          <w:p w14:paraId="0FDCBF95" w14:textId="7950EFBA" w:rsidR="00BD03E9" w:rsidRDefault="00BD03E9" w:rsidP="002A7B60">
            <w:pPr>
              <w:pStyle w:val="NoblisTableText"/>
              <w:cnfStyle w:val="000000100000" w:firstRow="0" w:lastRow="0" w:firstColumn="0" w:lastColumn="0" w:oddVBand="0" w:evenVBand="0" w:oddHBand="1" w:evenHBand="0" w:firstRowFirstColumn="0" w:firstRowLastColumn="0" w:lastRowFirstColumn="0" w:lastRowLastColumn="0"/>
            </w:pPr>
            <w:r w:rsidRPr="00BD03E9">
              <w:t xml:space="preserve">Minor edits resulting from review of v </w:t>
            </w:r>
            <w:r>
              <w:t>7</w:t>
            </w:r>
            <w:r w:rsidRPr="00BD03E9">
              <w:t>.0</w:t>
            </w:r>
          </w:p>
        </w:tc>
        <w:tc>
          <w:tcPr>
            <w:tcW w:w="2070" w:type="dxa"/>
          </w:tcPr>
          <w:p w14:paraId="22AE7373" w14:textId="4E4352A4" w:rsidR="00BD03E9" w:rsidRDefault="00BD03E9" w:rsidP="00BB782B">
            <w:pPr>
              <w:pStyle w:val="NoblisTableText"/>
              <w:jc w:val="left"/>
              <w:cnfStyle w:val="000000100000" w:firstRow="0" w:lastRow="0" w:firstColumn="0" w:lastColumn="0" w:oddVBand="0" w:evenVBand="0" w:oddHBand="1" w:evenHBand="0" w:firstRowFirstColumn="0" w:firstRowLastColumn="0" w:lastRowFirstColumn="0" w:lastRowLastColumn="0"/>
            </w:pPr>
            <w:r>
              <w:t>Debbie Hren</w:t>
            </w:r>
          </w:p>
        </w:tc>
      </w:tr>
    </w:tbl>
    <w:p w14:paraId="4337560A" w14:textId="77777777" w:rsidR="00C60C6F" w:rsidRDefault="00C60C6F" w:rsidP="00C60C6F">
      <w:pPr>
        <w:pStyle w:val="A"/>
      </w:pPr>
    </w:p>
    <w:p w14:paraId="3CECA82E" w14:textId="77777777" w:rsidR="00C60C6F" w:rsidRDefault="00C60C6F" w:rsidP="002466A5">
      <w:pPr>
        <w:pStyle w:val="A"/>
        <w:sectPr w:rsidR="00C60C6F" w:rsidSect="006A2C95">
          <w:footerReference w:type="first" r:id="rId13"/>
          <w:pgSz w:w="12240" w:h="15840" w:code="1"/>
          <w:pgMar w:top="1440" w:right="1440" w:bottom="1440" w:left="1440" w:header="720" w:footer="720" w:gutter="0"/>
          <w:pgNumType w:fmt="lowerRoman" w:start="1"/>
          <w:cols w:space="720"/>
          <w:docGrid w:linePitch="360"/>
        </w:sectPr>
      </w:pPr>
    </w:p>
    <w:p w14:paraId="5DFCD1CA" w14:textId="54BE34D4" w:rsidR="00C23DE3" w:rsidRPr="00D86FD2" w:rsidRDefault="00923827" w:rsidP="00E436C5">
      <w:pPr>
        <w:pStyle w:val="Heading1"/>
        <w:numPr>
          <w:ilvl w:val="0"/>
          <w:numId w:val="2"/>
        </w:numPr>
      </w:pPr>
      <w:bookmarkStart w:id="1" w:name="_Toc12525443"/>
      <w:bookmarkStart w:id="2" w:name="_Toc498950245"/>
      <w:bookmarkStart w:id="3" w:name="_Toc107325275"/>
      <w:r>
        <w:lastRenderedPageBreak/>
        <w:t>Purpose</w:t>
      </w:r>
      <w:bookmarkEnd w:id="1"/>
      <w:bookmarkEnd w:id="2"/>
      <w:bookmarkEnd w:id="3"/>
    </w:p>
    <w:p w14:paraId="47090D7F" w14:textId="5C847E19" w:rsidR="00D86FD2" w:rsidRDefault="00D86FD2" w:rsidP="002466A5">
      <w:bookmarkStart w:id="4" w:name="_Toc196891095"/>
      <w:r w:rsidRPr="00D86FD2">
        <w:t xml:space="preserve">The General Services Administration (GSA) developed this handbook for agencies and other stakeholders to facilitate a successful, timely, and orderly transition of services from the expiring Networx, Washington Interagency Telecommunications Systems (WITS) 3, and </w:t>
      </w:r>
      <w:r w:rsidR="008C4A5F">
        <w:t xml:space="preserve">GSA </w:t>
      </w:r>
      <w:r w:rsidR="00754B25">
        <w:t>Regional local service</w:t>
      </w:r>
      <w:r w:rsidR="00972987" w:rsidRPr="00D86FD2">
        <w:t xml:space="preserve"> </w:t>
      </w:r>
      <w:r w:rsidRPr="00D86FD2">
        <w:t>contracts to the Enterprise Infrastructure Solutions (EIS) contracts.</w:t>
      </w:r>
    </w:p>
    <w:p w14:paraId="4157962E" w14:textId="77777777" w:rsidR="006B31DB" w:rsidRPr="00D86FD2" w:rsidRDefault="006B31DB" w:rsidP="002466A5"/>
    <w:p w14:paraId="582942C5" w14:textId="180D18A1" w:rsidR="00D86FD2" w:rsidRDefault="00D86FD2" w:rsidP="002466A5">
      <w:r w:rsidRPr="00D86FD2">
        <w:t>This document advocates the importance of coordination and cooperation among transition stakeholders. This is achieved by (1) defining a standardized approach for all agencies across the government, (2) recommending a sequence of transition events, (3) describing transition roles and responsibilities, and (4) providing guidance on transition processes and procedures from the agencies’ perspective. This handbook provides a framework for agencies to manage a successful transition by describing the essential activities to prepare for</w:t>
      </w:r>
      <w:r w:rsidR="005E0F1A">
        <w:t>,</w:t>
      </w:r>
      <w:r w:rsidRPr="00D86FD2">
        <w:t xml:space="preserve"> execute</w:t>
      </w:r>
      <w:r w:rsidR="005E0F1A">
        <w:t>, and track</w:t>
      </w:r>
      <w:r w:rsidRPr="00D86FD2">
        <w:t xml:space="preserve"> transition. It includes a</w:t>
      </w:r>
      <w:r w:rsidR="005E0F1A">
        <w:t xml:space="preserve">n overview </w:t>
      </w:r>
      <w:r w:rsidRPr="00D86FD2">
        <w:t>of activities agencies perform to order services under the new contracts and complete their transitions.</w:t>
      </w:r>
    </w:p>
    <w:p w14:paraId="41F35429" w14:textId="5E749BFE" w:rsidR="009B588A" w:rsidRPr="00970CFF" w:rsidRDefault="00923827" w:rsidP="00E436C5">
      <w:pPr>
        <w:pStyle w:val="Heading1"/>
        <w:numPr>
          <w:ilvl w:val="0"/>
          <w:numId w:val="2"/>
        </w:numPr>
      </w:pPr>
      <w:bookmarkStart w:id="5" w:name="_Toc12525444"/>
      <w:bookmarkStart w:id="6" w:name="_Toc498950246"/>
      <w:bookmarkStart w:id="7" w:name="_Toc107325276"/>
      <w:bookmarkStart w:id="8" w:name="_Toc196891097"/>
      <w:bookmarkEnd w:id="4"/>
      <w:r>
        <w:t>Background</w:t>
      </w:r>
      <w:bookmarkEnd w:id="5"/>
      <w:bookmarkEnd w:id="6"/>
      <w:bookmarkEnd w:id="7"/>
      <w:r w:rsidRPr="00970CFF">
        <w:t xml:space="preserve"> </w:t>
      </w:r>
    </w:p>
    <w:p w14:paraId="55D18700" w14:textId="56F55C0E" w:rsidR="00D76CF1" w:rsidRDefault="00D86FD2" w:rsidP="00D76CF1">
      <w:r w:rsidRPr="00D86FD2">
        <w:t xml:space="preserve">GSA’s Network Services 2020 (NS2020) </w:t>
      </w:r>
      <w:r w:rsidR="00A35602">
        <w:t xml:space="preserve">Strategy </w:t>
      </w:r>
      <w:r w:rsidRPr="00D86FD2">
        <w:t xml:space="preserve">represents a portfolio of contracts that provide the flexibility and agility to support agency migrations to future technologies while adhering to the high-level objectives laid out in the Information Technology (IT) Reform Plan and Digital Government Strategy. NS2020 enables interoperability and furthers the migration from legacy technologies to a converged Internet Protocol (IP) environment with </w:t>
      </w:r>
      <w:r w:rsidRPr="002466A5">
        <w:t>common</w:t>
      </w:r>
      <w:r w:rsidRPr="00D86FD2">
        <w:t xml:space="preserve">, core security standards through an expansive array of modern telecommunications and IT service offerings. As part of the “Infrastructure Solutions” component of NS2020, the EIS contracts provide high-quality telecommunications and network services and solutions that meet or exceed agency requirements, conform to government policies and standards, and offer competitive pricing. EIS provides continuous competition to satisfy specific networking projects, emerging requirements, technology refreshment, and access to innovative solutions. The combination of more services, greater competition, and improved performance provides significant incentive to transition to EIS. </w:t>
      </w:r>
    </w:p>
    <w:p w14:paraId="1DD956FC" w14:textId="35EAC97B" w:rsidR="003F10EA" w:rsidRDefault="003F10EA" w:rsidP="00D76CF1"/>
    <w:p w14:paraId="590D2E55" w14:textId="77777777" w:rsidR="003F10EA" w:rsidRDefault="003F10EA" w:rsidP="003F10EA">
      <w:r w:rsidRPr="00B80775">
        <w:t xml:space="preserve">In October 2018, GSA announced it intends to extend the expiring telecommunications contracts to further enable modernization and transition execution, pending commitment by agencies to maintain momentum on EIS transition and network modernization. With this extension, all contracts will expire in May 2023. </w:t>
      </w:r>
    </w:p>
    <w:p w14:paraId="69B74D04" w14:textId="77777777" w:rsidR="003F10EA" w:rsidRDefault="003F10EA" w:rsidP="003F10EA"/>
    <w:p w14:paraId="0B40358D" w14:textId="2AEC3110" w:rsidR="003F10EA" w:rsidRDefault="003F10EA" w:rsidP="00D76CF1">
      <w:r>
        <w:t xml:space="preserve">In </w:t>
      </w:r>
      <w:r w:rsidR="000155F8">
        <w:t>February</w:t>
      </w:r>
      <w:r>
        <w:t xml:space="preserve"> 2022, GSA announced it intends to invoke the </w:t>
      </w:r>
      <w:r w:rsidR="001D35A4">
        <w:t>c</w:t>
      </w:r>
      <w:r>
        <w:t xml:space="preserve">ontinuity of </w:t>
      </w:r>
      <w:r w:rsidR="001D35A4">
        <w:t>s</w:t>
      </w:r>
      <w:r>
        <w:t xml:space="preserve">ervice (CoS) clause for the expiring contracts. This provides agencies the opportunity to either complete transition to EIS or find another solution to prevent interruption of services. Invoking the CoS clause helps reduce the risks associated with not completing transition by the May 2023 contract expiration date. It also provides more time for agencies to </w:t>
      </w:r>
      <w:r>
        <w:lastRenderedPageBreak/>
        <w:t xml:space="preserve">address challenges resulting from delayed TO awards, supply chain disruptions, and other important priorities. To take advantage of the CoS period, </w:t>
      </w:r>
      <w:r w:rsidR="000B3CF8">
        <w:t xml:space="preserve">an </w:t>
      </w:r>
      <w:r>
        <w:t>agenc</w:t>
      </w:r>
      <w:r w:rsidR="000B3CF8">
        <w:t>y</w:t>
      </w:r>
      <w:r>
        <w:t xml:space="preserve"> must sign a Memorandum of Understanding (MOU) with GSA by September </w:t>
      </w:r>
      <w:r w:rsidR="00BC05D3">
        <w:t>30</w:t>
      </w:r>
      <w:r>
        <w:t>, 2022. At the end of the 12-month CoS period (May 31, 2024), any remaining active services on the expiring contracts will be disconnected in accordance with the terms and conditions of their respective contracts. GSA will remove agencies that do not sign the MOU from the Networks Authorized Users List (NAUL) for the expiring contracts in October 2022. Contractors will then begin the disconnect process as early as November 2022 and complete it no later than May 2023.</w:t>
      </w:r>
      <w:r w:rsidRPr="00AE2531">
        <w:t xml:space="preserve"> </w:t>
      </w:r>
      <w:r w:rsidRPr="00B80775">
        <w:t xml:space="preserve">See </w:t>
      </w:r>
      <w:hyperlink r:id="rId14" w:history="1">
        <w:r w:rsidRPr="00B80775">
          <w:rPr>
            <w:rStyle w:val="Hyperlink"/>
          </w:rPr>
          <w:t>gsa.gov/eistransition</w:t>
        </w:r>
      </w:hyperlink>
      <w:r w:rsidRPr="00B80775">
        <w:t xml:space="preserve"> for more information on the transition timeline.</w:t>
      </w:r>
    </w:p>
    <w:p w14:paraId="5C3E932F" w14:textId="3A9147B9" w:rsidR="00970CFF" w:rsidRPr="00970CFF" w:rsidRDefault="00923827" w:rsidP="00E436C5">
      <w:pPr>
        <w:pStyle w:val="Heading1"/>
        <w:numPr>
          <w:ilvl w:val="0"/>
          <w:numId w:val="2"/>
        </w:numPr>
      </w:pPr>
      <w:bookmarkStart w:id="9" w:name="_Toc12525445"/>
      <w:bookmarkStart w:id="10" w:name="_Toc498950247"/>
      <w:bookmarkStart w:id="11" w:name="_Toc107325277"/>
      <w:r>
        <w:t>Successful Transition</w:t>
      </w:r>
      <w:bookmarkEnd w:id="9"/>
      <w:bookmarkEnd w:id="10"/>
      <w:bookmarkEnd w:id="11"/>
      <w:r w:rsidR="00970CFF" w:rsidRPr="00970CFF">
        <w:t xml:space="preserve"> </w:t>
      </w:r>
    </w:p>
    <w:p w14:paraId="0E112618" w14:textId="2E4C6C55" w:rsidR="00D76CF1" w:rsidRDefault="00D86FD2" w:rsidP="002466A5">
      <w:r w:rsidRPr="00D86FD2">
        <w:t xml:space="preserve">In addition to the benefits of transitioning to EIS, stakeholders must be mindful of the critical schedule for completing transition. GSA </w:t>
      </w:r>
      <w:r w:rsidR="00ED6C74" w:rsidRPr="00ED6C74">
        <w:t xml:space="preserve">is committed to supporting </w:t>
      </w:r>
      <w:r w:rsidRPr="00D86FD2">
        <w:t xml:space="preserve">agencies through transition; however, it is up to the agencies to execute transition before the Networx, WITS 3, and </w:t>
      </w:r>
      <w:r w:rsidR="008C4A5F">
        <w:t xml:space="preserve">GSA </w:t>
      </w:r>
      <w:r w:rsidR="00754B25">
        <w:t>Regional local service</w:t>
      </w:r>
      <w:r w:rsidRPr="00D86FD2">
        <w:t xml:space="preserve"> contracts expire</w:t>
      </w:r>
      <w:r w:rsidR="007F66A0">
        <w:t xml:space="preserve"> or the CoS period ends (as applicable)</w:t>
      </w:r>
      <w:r w:rsidRPr="00D86FD2">
        <w:t xml:space="preserve">, either by </w:t>
      </w:r>
      <w:r w:rsidR="0023385E">
        <w:t xml:space="preserve">competitively </w:t>
      </w:r>
      <w:r w:rsidRPr="00D86FD2">
        <w:t xml:space="preserve">ordering replacement services on EIS or by justifying a sole-source action to move existing services from the current provider’s Networx, WITS 3, and </w:t>
      </w:r>
      <w:r w:rsidR="008C4A5F">
        <w:t xml:space="preserve">GSA </w:t>
      </w:r>
      <w:r w:rsidR="00754B25">
        <w:t>Regional local service</w:t>
      </w:r>
      <w:r w:rsidR="00D86603" w:rsidRPr="00D86FD2">
        <w:t xml:space="preserve"> </w:t>
      </w:r>
      <w:r w:rsidRPr="00D86FD2">
        <w:t xml:space="preserve">contracts to their EIS contract, if that is available. </w:t>
      </w:r>
    </w:p>
    <w:p w14:paraId="265779CD" w14:textId="77777777" w:rsidR="008026C8" w:rsidRDefault="008026C8" w:rsidP="002466A5"/>
    <w:p w14:paraId="0207CED7" w14:textId="5FB6C9FB" w:rsidR="003D3AD8" w:rsidRDefault="003D3AD8" w:rsidP="002466A5">
      <w:r w:rsidRPr="003D3AD8">
        <w:t xml:space="preserve">The transition process </w:t>
      </w:r>
      <w:r>
        <w:t>is</w:t>
      </w:r>
      <w:r w:rsidRPr="003D3AD8">
        <w:t xml:space="preserve"> subject to significant risks, including that the current service provider is not awarded an EIS contract or selected through the</w:t>
      </w:r>
      <w:r w:rsidR="001A4EC0">
        <w:t xml:space="preserve"> Fair Opportunity</w:t>
      </w:r>
      <w:r w:rsidRPr="003D3AD8">
        <w:t xml:space="preserve"> </w:t>
      </w:r>
      <w:r w:rsidR="001A4EC0">
        <w:t>(</w:t>
      </w:r>
      <w:r w:rsidRPr="003D3AD8">
        <w:t>FO</w:t>
      </w:r>
      <w:r w:rsidR="001A4EC0">
        <w:t>)</w:t>
      </w:r>
      <w:r w:rsidRPr="003D3AD8">
        <w:t xml:space="preserve"> process and that the selected service provider is unable or unwilling to execute all transition requirements as expected or within the timeline to avoid gaps in service continuity. Agencies should not expect further extension of the expiring contracts and plan to complete transition by </w:t>
      </w:r>
      <w:r w:rsidR="002E3994">
        <w:t>September 2022</w:t>
      </w:r>
      <w:r w:rsidRPr="003D3AD8">
        <w:t xml:space="preserve"> or consider alternative approaches to avoid service gaps. GSA advises the agency to carefully review and consider the guidance offered in </w:t>
      </w:r>
      <w:r w:rsidR="00996325">
        <w:t>this</w:t>
      </w:r>
      <w:r w:rsidR="00996325" w:rsidRPr="003D3AD8">
        <w:t xml:space="preserve"> </w:t>
      </w:r>
      <w:r w:rsidRPr="00C95436">
        <w:rPr>
          <w:u w:val="single"/>
        </w:rPr>
        <w:t>Transition Handbook</w:t>
      </w:r>
      <w:r w:rsidRPr="003D3AD8">
        <w:t xml:space="preserve">, </w:t>
      </w:r>
      <w:r w:rsidR="007C4019">
        <w:t xml:space="preserve">the </w:t>
      </w:r>
      <w:r w:rsidRPr="00C95436">
        <w:rPr>
          <w:u w:val="single"/>
        </w:rPr>
        <w:t>Fair Opportunity and Ordering Guide</w:t>
      </w:r>
      <w:r w:rsidR="00B2701C">
        <w:t xml:space="preserve"> (FOOG)</w:t>
      </w:r>
      <w:r w:rsidRPr="003D3AD8">
        <w:t xml:space="preserve">, and </w:t>
      </w:r>
      <w:r w:rsidR="007C4019">
        <w:t xml:space="preserve">the </w:t>
      </w:r>
      <w:r w:rsidRPr="00C95436">
        <w:rPr>
          <w:u w:val="single"/>
        </w:rPr>
        <w:t>EIS Management and Operations (MOPS) Handbook</w:t>
      </w:r>
      <w:r w:rsidRPr="003D3AD8">
        <w:t xml:space="preserve"> as well as other training and guides available on </w:t>
      </w:r>
      <w:hyperlink r:id="rId15" w:history="1">
        <w:r w:rsidRPr="00B2701C">
          <w:rPr>
            <w:rStyle w:val="Hyperlink"/>
          </w:rPr>
          <w:t>gsa.gov/eis</w:t>
        </w:r>
      </w:hyperlink>
      <w:r w:rsidRPr="003D3AD8">
        <w:t xml:space="preserve"> and </w:t>
      </w:r>
      <w:hyperlink r:id="rId16" w:history="1">
        <w:r w:rsidR="00B2701C">
          <w:rPr>
            <w:rStyle w:val="Hyperlink"/>
          </w:rPr>
          <w:t>gsa.gov/eistransition</w:t>
        </w:r>
      </w:hyperlink>
      <w:r w:rsidRPr="003D3AD8">
        <w:t>, particularly noting the lessons learned from previous transitions and how they can be incorporated into the transition to EIS. The agency must establish and maintain effective oversight throughout transition, and escalate problems with the service providers to GSA with documentation.</w:t>
      </w:r>
    </w:p>
    <w:p w14:paraId="0096B898" w14:textId="77777777" w:rsidR="003D3AD8" w:rsidRDefault="003D3AD8" w:rsidP="002466A5"/>
    <w:p w14:paraId="31345253" w14:textId="3EA6DC1A" w:rsidR="007C4363" w:rsidRPr="006B31DB" w:rsidRDefault="00D86FD2" w:rsidP="002466A5">
      <w:r w:rsidRPr="00D86FD2">
        <w:t xml:space="preserve">In concert with agency customers, contractors, and oversight organizations, GSA </w:t>
      </w:r>
      <w:r w:rsidR="003D3AD8">
        <w:t>is</w:t>
      </w:r>
      <w:r w:rsidR="003D3AD8" w:rsidRPr="00D86FD2">
        <w:t xml:space="preserve"> </w:t>
      </w:r>
      <w:r w:rsidRPr="00D86FD2">
        <w:t>implement</w:t>
      </w:r>
      <w:r w:rsidR="003D3AD8">
        <w:t>ing</w:t>
      </w:r>
      <w:r w:rsidRPr="00D86FD2">
        <w:t xml:space="preserve"> a transition strategy that capitalizes on lessons learned from previous transitions to </w:t>
      </w:r>
      <w:r w:rsidR="00455462" w:rsidRPr="00D86FD2">
        <w:t>affect</w:t>
      </w:r>
      <w:r w:rsidRPr="00D86FD2">
        <w:t xml:space="preserve"> a successful transition. The key el</w:t>
      </w:r>
      <w:r w:rsidR="006B31DB">
        <w:t>ements of this strategy follow</w:t>
      </w:r>
      <w:r w:rsidR="001F6E71">
        <w:t>.</w:t>
      </w:r>
    </w:p>
    <w:p w14:paraId="520A58E5" w14:textId="77777777" w:rsidR="007505FE" w:rsidRPr="005D0079" w:rsidRDefault="007505FE" w:rsidP="00E436C5">
      <w:pPr>
        <w:pStyle w:val="Heading2Hdbk"/>
      </w:pPr>
      <w:bookmarkStart w:id="12" w:name="_Toc498618385"/>
      <w:bookmarkStart w:id="13" w:name="_Toc12525446"/>
      <w:bookmarkStart w:id="14" w:name="_Toc498950248"/>
      <w:bookmarkStart w:id="15" w:name="_Toc107325278"/>
      <w:r w:rsidRPr="002A6721">
        <w:t>Involvement of the Agency’s highest levels and key functional areas</w:t>
      </w:r>
      <w:bookmarkEnd w:id="12"/>
      <w:bookmarkEnd w:id="13"/>
      <w:bookmarkEnd w:id="14"/>
      <w:bookmarkEnd w:id="15"/>
    </w:p>
    <w:p w14:paraId="21D711F8" w14:textId="703E14FA" w:rsidR="007C4363" w:rsidRPr="006B31DB" w:rsidRDefault="00D86FD2" w:rsidP="002466A5">
      <w:r w:rsidRPr="00D86FD2">
        <w:t>The engagement of executive management is critical to secure and focus the resources across the agency to plan and implement the transition, to track progress, and to respond to risks. GSA ask</w:t>
      </w:r>
      <w:r w:rsidR="00EC42CC">
        <w:t>s</w:t>
      </w:r>
      <w:r w:rsidRPr="00D86FD2">
        <w:t xml:space="preserve"> each agency to identify, by name, an executive sponsor for the </w:t>
      </w:r>
      <w:r w:rsidRPr="00D86FD2">
        <w:lastRenderedPageBreak/>
        <w:t xml:space="preserve">transition. Another fundamental requirement is early assignment of a Lead Transition Manager (LTM) and a Transition Ordering Contracting Officer (TOCO) that understands the Federal Acquisition Regulation (FAR) and </w:t>
      </w:r>
      <w:r w:rsidR="0009769E">
        <w:t xml:space="preserve">the </w:t>
      </w:r>
      <w:r w:rsidRPr="00D86FD2">
        <w:t>agency’s policies for selecting a contractor</w:t>
      </w:r>
      <w:r w:rsidR="0009769E">
        <w:t>,</w:t>
      </w:r>
      <w:r w:rsidRPr="00D86FD2">
        <w:t xml:space="preserve"> and has a repertoire of workable approaches to meet the ag</w:t>
      </w:r>
      <w:r w:rsidR="006B31DB">
        <w:t>ency’s transition requirements.</w:t>
      </w:r>
    </w:p>
    <w:p w14:paraId="52D927B7" w14:textId="77777777" w:rsidR="006B31DB" w:rsidRDefault="006B31DB" w:rsidP="00E436C5">
      <w:pPr>
        <w:pStyle w:val="Heading2Hdbk"/>
      </w:pPr>
      <w:bookmarkStart w:id="16" w:name="_Toc12525447"/>
      <w:bookmarkStart w:id="17" w:name="_Toc498950249"/>
      <w:bookmarkStart w:id="18" w:name="_Toc107325279"/>
      <w:r>
        <w:t>Agency Transition Plan</w:t>
      </w:r>
      <w:bookmarkEnd w:id="16"/>
      <w:bookmarkEnd w:id="17"/>
      <w:bookmarkEnd w:id="18"/>
    </w:p>
    <w:p w14:paraId="6FD58267" w14:textId="700FF68C" w:rsidR="007C4363" w:rsidRPr="006B31DB" w:rsidRDefault="00D86FD2" w:rsidP="002466A5">
      <w:r w:rsidRPr="00D86FD2">
        <w:t>Agencies must develop a transition plan and provide it to GSA. GSA will track this as a critical milestone t</w:t>
      </w:r>
      <w:r w:rsidR="006B31DB">
        <w:t xml:space="preserve">o be completed by </w:t>
      </w:r>
      <w:r w:rsidR="006B31DB" w:rsidRPr="000D3692">
        <w:t>October 2016</w:t>
      </w:r>
      <w:r w:rsidR="00A1066C">
        <w:t>, with updates and additional detail as needed throughout transition</w:t>
      </w:r>
      <w:r w:rsidR="006B31DB">
        <w:t>.</w:t>
      </w:r>
      <w:r w:rsidR="002449D4" w:rsidRPr="002449D4">
        <w:t xml:space="preserve"> </w:t>
      </w:r>
      <w:r w:rsidR="002449D4">
        <w:t xml:space="preserve">Agencies should plan with </w:t>
      </w:r>
      <w:r w:rsidR="002449D4" w:rsidRPr="002449D4">
        <w:t xml:space="preserve">sufficient flexibility </w:t>
      </w:r>
      <w:r w:rsidR="002449D4">
        <w:t>to</w:t>
      </w:r>
      <w:r w:rsidR="002449D4" w:rsidRPr="002449D4">
        <w:t xml:space="preserve"> coordinate transition with other ongoing activities regardless of </w:t>
      </w:r>
      <w:r w:rsidR="002449D4">
        <w:t>the impact of external events</w:t>
      </w:r>
      <w:r w:rsidR="002449D4" w:rsidRPr="002449D4">
        <w:t>.</w:t>
      </w:r>
      <w:r w:rsidR="002449D4">
        <w:t xml:space="preserve"> For example, </w:t>
      </w:r>
      <w:r w:rsidR="00457602">
        <w:t>a</w:t>
      </w:r>
      <w:r w:rsidR="002449D4">
        <w:t xml:space="preserve"> change of presidential administration could have significant impact, and agencies’ plans should consider the impact.</w:t>
      </w:r>
    </w:p>
    <w:p w14:paraId="6CF88AF9" w14:textId="77777777" w:rsidR="006B31DB" w:rsidRDefault="00D86FD2" w:rsidP="00E436C5">
      <w:pPr>
        <w:pStyle w:val="Heading2Hdbk"/>
      </w:pPr>
      <w:bookmarkStart w:id="19" w:name="_Toc12525448"/>
      <w:bookmarkStart w:id="20" w:name="_Toc498950250"/>
      <w:bookmarkStart w:id="21" w:name="_Toc107325280"/>
      <w:r w:rsidRPr="00970CFF">
        <w:t>Early and effecti</w:t>
      </w:r>
      <w:r w:rsidR="006B31DB">
        <w:t>ve support from GSA to Agencies</w:t>
      </w:r>
      <w:bookmarkEnd w:id="19"/>
      <w:bookmarkEnd w:id="20"/>
      <w:bookmarkEnd w:id="21"/>
    </w:p>
    <w:p w14:paraId="15F85F7B" w14:textId="69370807" w:rsidR="007C4363" w:rsidRPr="006B31DB" w:rsidRDefault="00D86FD2" w:rsidP="002466A5">
      <w:r w:rsidRPr="00D86FD2">
        <w:t xml:space="preserve">From the earliest agency engagements, GSA will provide tailored support to each agency appropriate to its transition approach, especially for the contractor selection, or FO process (see FAR Subpart 16.505). GSA will work with the existing Networx, WITS 3, and </w:t>
      </w:r>
      <w:r w:rsidR="008C4A5F">
        <w:t xml:space="preserve">GSA </w:t>
      </w:r>
      <w:r w:rsidR="00754B25">
        <w:t>Regional local service</w:t>
      </w:r>
      <w:r w:rsidRPr="00D86FD2">
        <w:t xml:space="preserve"> contractors to conduct the initial validation of inventory</w:t>
      </w:r>
      <w:r w:rsidR="00086A3D" w:rsidRPr="00086A3D">
        <w:t xml:space="preserve"> </w:t>
      </w:r>
      <w:r w:rsidR="00086A3D">
        <w:t>and maintain the inventory throughout transition</w:t>
      </w:r>
      <w:r w:rsidRPr="00D86FD2">
        <w:t xml:space="preserve">. </w:t>
      </w:r>
      <w:r w:rsidR="004B5CA2" w:rsidRPr="00D86FD2">
        <w:t>GSA will provide training for</w:t>
      </w:r>
      <w:r w:rsidR="004B5CA2">
        <w:t xml:space="preserve"> ordering on the EIS contracts</w:t>
      </w:r>
      <w:r w:rsidR="00964F5A">
        <w:t xml:space="preserve"> based on </w:t>
      </w:r>
      <w:r w:rsidR="004B5CA2">
        <w:t>t</w:t>
      </w:r>
      <w:r w:rsidR="00050EA1">
        <w:t xml:space="preserve">he EIS </w:t>
      </w:r>
      <w:r w:rsidR="0009769E">
        <w:t>FOOG</w:t>
      </w:r>
      <w:r w:rsidR="00050EA1">
        <w:t xml:space="preserve"> </w:t>
      </w:r>
      <w:r w:rsidR="00050EA1" w:rsidRPr="003D3AD8">
        <w:t xml:space="preserve">available on </w:t>
      </w:r>
      <w:hyperlink r:id="rId17" w:history="1">
        <w:r w:rsidR="0009769E" w:rsidRPr="0009769E">
          <w:rPr>
            <w:rStyle w:val="Hyperlink"/>
          </w:rPr>
          <w:t>gsa.gov/eistransition</w:t>
        </w:r>
      </w:hyperlink>
      <w:r w:rsidR="00050EA1">
        <w:t>.</w:t>
      </w:r>
      <w:r w:rsidR="00050EA1" w:rsidRPr="00050EA1">
        <w:t xml:space="preserve"> </w:t>
      </w:r>
      <w:r w:rsidR="00050EA1">
        <w:t xml:space="preserve"> </w:t>
      </w:r>
    </w:p>
    <w:p w14:paraId="7473B03F" w14:textId="77777777" w:rsidR="006B31DB" w:rsidRDefault="006B31DB" w:rsidP="00E436C5">
      <w:pPr>
        <w:pStyle w:val="Heading2Hdbk"/>
      </w:pPr>
      <w:bookmarkStart w:id="22" w:name="_Toc12525449"/>
      <w:bookmarkStart w:id="23" w:name="_Toc498950251"/>
      <w:bookmarkStart w:id="24" w:name="_Toc107325281"/>
      <w:r>
        <w:t>Phased, orderly approach</w:t>
      </w:r>
      <w:bookmarkEnd w:id="22"/>
      <w:bookmarkEnd w:id="23"/>
      <w:bookmarkEnd w:id="24"/>
    </w:p>
    <w:p w14:paraId="153D546E" w14:textId="5E461E84" w:rsidR="007C4363" w:rsidRPr="006B31DB" w:rsidRDefault="00D86FD2" w:rsidP="002466A5">
      <w:r w:rsidRPr="00D86FD2">
        <w:t xml:space="preserve">GSA will coordinate with agencies and contractors to develop a </w:t>
      </w:r>
      <w:r w:rsidRPr="008C1765">
        <w:t>recommended sequence of transition orders to achieve early progress, level resource demands, and minimize backlogs. GSA will work with all stakeholders to guide tr</w:t>
      </w:r>
      <w:r w:rsidR="006B31DB" w:rsidRPr="008C1765">
        <w:t>ansition through</w:t>
      </w:r>
      <w:r w:rsidR="006B31DB">
        <w:t xml:space="preserve"> this sequence.</w:t>
      </w:r>
      <w:r w:rsidR="003C4514">
        <w:t xml:space="preserve"> See </w:t>
      </w:r>
      <w:r w:rsidR="009D750B">
        <w:t>Appendix F</w:t>
      </w:r>
      <w:r w:rsidR="003C4514">
        <w:t xml:space="preserve"> for </w:t>
      </w:r>
      <w:r w:rsidR="0009769E">
        <w:t>information on</w:t>
      </w:r>
      <w:r w:rsidR="008C1765">
        <w:t xml:space="preserve"> </w:t>
      </w:r>
      <w:r w:rsidR="00FA6E5E">
        <w:t xml:space="preserve">sequencing </w:t>
      </w:r>
      <w:r w:rsidR="00D76CF1">
        <w:t xml:space="preserve">transition </w:t>
      </w:r>
      <w:r w:rsidR="008C1765">
        <w:t>order</w:t>
      </w:r>
      <w:r w:rsidR="00FA6E5E">
        <w:t>s</w:t>
      </w:r>
      <w:r w:rsidR="008C1765">
        <w:t xml:space="preserve">, </w:t>
      </w:r>
      <w:r w:rsidR="0009769E">
        <w:t xml:space="preserve">including </w:t>
      </w:r>
      <w:r w:rsidR="008C1765">
        <w:t xml:space="preserve">attributes of services to transition and </w:t>
      </w:r>
      <w:r w:rsidR="00D76CF1">
        <w:t xml:space="preserve">other </w:t>
      </w:r>
      <w:r w:rsidR="003C4514">
        <w:t>items to consider</w:t>
      </w:r>
      <w:r w:rsidR="008C1765">
        <w:t xml:space="preserve"> during transition.</w:t>
      </w:r>
      <w:r w:rsidR="00E35767">
        <w:t xml:space="preserve">  </w:t>
      </w:r>
    </w:p>
    <w:p w14:paraId="6CDCB708" w14:textId="77777777" w:rsidR="006B31DB" w:rsidRDefault="00D86FD2" w:rsidP="00E436C5">
      <w:pPr>
        <w:pStyle w:val="Heading2Hdbk"/>
      </w:pPr>
      <w:bookmarkStart w:id="25" w:name="_Toc12525450"/>
      <w:bookmarkStart w:id="26" w:name="_Toc498950252"/>
      <w:bookmarkStart w:id="27" w:name="_Toc107325282"/>
      <w:r w:rsidRPr="00970CFF">
        <w:t>Transparency and me</w:t>
      </w:r>
      <w:r w:rsidR="006B31DB">
        <w:t>aningful reporting</w:t>
      </w:r>
      <w:bookmarkEnd w:id="25"/>
      <w:bookmarkEnd w:id="26"/>
      <w:bookmarkEnd w:id="27"/>
    </w:p>
    <w:p w14:paraId="6A669B26" w14:textId="1DCC9F86" w:rsidR="00D86FD2" w:rsidRDefault="00D86FD2" w:rsidP="002466A5">
      <w:r w:rsidRPr="00D86FD2">
        <w:t xml:space="preserve">GSA will define and openly track major milestones and report agencies’ progress to </w:t>
      </w:r>
      <w:r w:rsidR="0072056A">
        <w:t>the Office of Management and Budget (</w:t>
      </w:r>
      <w:r w:rsidRPr="00D86FD2">
        <w:t>OMB</w:t>
      </w:r>
      <w:r w:rsidR="0072056A">
        <w:t>)</w:t>
      </w:r>
      <w:r w:rsidRPr="00D86FD2">
        <w:t xml:space="preserve">. Measures of transition progress will be developed in collaboration with agencies and </w:t>
      </w:r>
      <w:r w:rsidR="002D0A63" w:rsidRPr="00D86FD2">
        <w:t>contractors</w:t>
      </w:r>
      <w:r w:rsidR="002D0A63">
        <w:t xml:space="preserve"> and</w:t>
      </w:r>
      <w:r w:rsidRPr="00D86FD2">
        <w:t xml:space="preserve"> will be representative of business volume and the complexity of services being moved.</w:t>
      </w:r>
    </w:p>
    <w:p w14:paraId="7D5AFAB6" w14:textId="61AA18B4" w:rsidR="00970CFF" w:rsidRPr="00970CFF" w:rsidRDefault="00923827" w:rsidP="00E436C5">
      <w:pPr>
        <w:pStyle w:val="Heading1"/>
        <w:numPr>
          <w:ilvl w:val="0"/>
          <w:numId w:val="2"/>
        </w:numPr>
      </w:pPr>
      <w:bookmarkStart w:id="28" w:name="_Toc12525451"/>
      <w:bookmarkStart w:id="29" w:name="_Toc498950253"/>
      <w:bookmarkStart w:id="30" w:name="_Toc107325283"/>
      <w:r>
        <w:t>Transition Overview</w:t>
      </w:r>
      <w:bookmarkEnd w:id="28"/>
      <w:bookmarkEnd w:id="29"/>
      <w:bookmarkEnd w:id="30"/>
    </w:p>
    <w:p w14:paraId="3E955CEF" w14:textId="355ACC69" w:rsidR="006C7EC8" w:rsidRDefault="006C7EC8" w:rsidP="002466A5">
      <w:r>
        <w:t>T</w:t>
      </w:r>
      <w:r w:rsidR="00996325">
        <w:t>ransition i</w:t>
      </w:r>
      <w:r w:rsidRPr="006C7EC8">
        <w:t>s a critical component of a larger agency evolution where agencies upgrade their network equipment and architecture to reflect new applications, new security approaches, increased traffic, and potentially changing network traffic patterns</w:t>
      </w:r>
      <w:r>
        <w:t>.</w:t>
      </w:r>
    </w:p>
    <w:p w14:paraId="26510644" w14:textId="7760B0C8" w:rsidR="00970CFF" w:rsidRPr="00970CFF" w:rsidRDefault="00970CFF" w:rsidP="002466A5">
      <w:r w:rsidRPr="00970CFF">
        <w:t xml:space="preserve">For the purposes of this handbook, transition is defined as the movement of services from the expiring Networx, WITS 3, and </w:t>
      </w:r>
      <w:r w:rsidR="008C4A5F">
        <w:t xml:space="preserve">GSA </w:t>
      </w:r>
      <w:r w:rsidR="00754B25">
        <w:t>Regional local service</w:t>
      </w:r>
      <w:r w:rsidRPr="00970CFF">
        <w:t xml:space="preserve"> contracts to EIS and continues until all services have been disconnected. Transition planning, execution, and management activities are critical to a successful transition to EIS and require participation by all relevant stakeholders. Agencies using Networx, WITS 3, and </w:t>
      </w:r>
      <w:r w:rsidR="008C4A5F">
        <w:t xml:space="preserve">GSA </w:t>
      </w:r>
      <w:r w:rsidR="00754B25">
        <w:lastRenderedPageBreak/>
        <w:t>Regional local service</w:t>
      </w:r>
      <w:r w:rsidRPr="00970CFF">
        <w:t xml:space="preserve"> contracts have the primary responsibility for completing transition successfully; accordingly, they should have an executive level sponsor for the agency’s transition.  </w:t>
      </w:r>
    </w:p>
    <w:p w14:paraId="0D6A12C8" w14:textId="77777777" w:rsidR="007C4363" w:rsidRDefault="007C4363" w:rsidP="002466A5"/>
    <w:p w14:paraId="395F3F59" w14:textId="1B7010BC" w:rsidR="00970CFF" w:rsidRPr="00D86FD2" w:rsidRDefault="00970CFF" w:rsidP="002466A5">
      <w:r w:rsidRPr="00970CFF">
        <w:t>GSA, as the owner of the contracts</w:t>
      </w:r>
      <w:r w:rsidR="00EC42CC">
        <w:t xml:space="preserve">, executes activities necessary for transition through three </w:t>
      </w:r>
      <w:r w:rsidR="000063F8">
        <w:t>integrated</w:t>
      </w:r>
      <w:r w:rsidR="00EC42CC">
        <w:t xml:space="preserve"> functions: the Program Management Office (PMO), </w:t>
      </w:r>
      <w:r w:rsidR="00303C3D">
        <w:t>c</w:t>
      </w:r>
      <w:r w:rsidR="00EC42CC">
        <w:t xml:space="preserve">ustomer </w:t>
      </w:r>
      <w:r w:rsidR="00303C3D">
        <w:t>e</w:t>
      </w:r>
      <w:r w:rsidR="00EC42CC">
        <w:t xml:space="preserve">ngagement, and the </w:t>
      </w:r>
      <w:r w:rsidR="00EC42CC" w:rsidRPr="00970CFF">
        <w:t>Transition Coordination Center (TCC)</w:t>
      </w:r>
      <w:r w:rsidR="00EC42CC">
        <w:t>. The</w:t>
      </w:r>
      <w:r w:rsidR="00050EA1">
        <w:t xml:space="preserve"> </w:t>
      </w:r>
      <w:r w:rsidRPr="00970CFF">
        <w:t>PMO supports the agencies</w:t>
      </w:r>
      <w:r w:rsidR="000063F8">
        <w:t>’ transition</w:t>
      </w:r>
      <w:r w:rsidRPr="00970CFF">
        <w:t xml:space="preserve"> by </w:t>
      </w:r>
      <w:r w:rsidR="000063F8">
        <w:t xml:space="preserve">establishing the EIS vehicles and </w:t>
      </w:r>
      <w:r w:rsidRPr="00970CFF">
        <w:t>managing the contractors</w:t>
      </w:r>
      <w:r w:rsidR="000063F8">
        <w:t xml:space="preserve">.  </w:t>
      </w:r>
      <w:r w:rsidR="00EC42CC" w:rsidRPr="00EC42CC">
        <w:t xml:space="preserve">Customer </w:t>
      </w:r>
      <w:r w:rsidR="002A2F54">
        <w:t>e</w:t>
      </w:r>
      <w:r w:rsidR="00EC42CC" w:rsidRPr="00EC42CC">
        <w:t xml:space="preserve">ngagement is responsible for ensuring that appropriate and effective support is provided to each agency during their transition to EIS. Within the </w:t>
      </w:r>
      <w:r w:rsidR="009E49AC">
        <w:t>c</w:t>
      </w:r>
      <w:r w:rsidR="00EC42CC" w:rsidRPr="00EC42CC">
        <w:t xml:space="preserve">ustomer </w:t>
      </w:r>
      <w:r w:rsidR="009E49AC">
        <w:t>e</w:t>
      </w:r>
      <w:r w:rsidR="00EC42CC" w:rsidRPr="00EC42CC">
        <w:t xml:space="preserve">ngagement </w:t>
      </w:r>
      <w:r w:rsidR="009E49AC">
        <w:t>function</w:t>
      </w:r>
      <w:r w:rsidR="00EC42CC" w:rsidRPr="00EC42CC">
        <w:t>, each agency is assigned a</w:t>
      </w:r>
      <w:r w:rsidR="00B90838">
        <w:t xml:space="preserve"> Solutions Broker</w:t>
      </w:r>
      <w:r w:rsidR="00B54547">
        <w:t xml:space="preserve"> </w:t>
      </w:r>
      <w:r w:rsidR="00EC42CC">
        <w:t>(</w:t>
      </w:r>
      <w:r w:rsidR="00B90838">
        <w:t>SB</w:t>
      </w:r>
      <w:r w:rsidR="0017790F">
        <w:t xml:space="preserve">) listed on </w:t>
      </w:r>
      <w:hyperlink r:id="rId18" w:history="1">
        <w:r w:rsidR="0017790F" w:rsidRPr="00EF5DEB">
          <w:rPr>
            <w:rStyle w:val="Hyperlink"/>
          </w:rPr>
          <w:t>gsa.gov/</w:t>
        </w:r>
        <w:r w:rsidR="00F16E2B" w:rsidRPr="00EF5DEB">
          <w:rPr>
            <w:rStyle w:val="Hyperlink"/>
          </w:rPr>
          <w:t>nspsupport</w:t>
        </w:r>
      </w:hyperlink>
      <w:r w:rsidR="00EC42CC" w:rsidRPr="0068276B">
        <w:t>,</w:t>
      </w:r>
      <w:r w:rsidR="00EC42CC" w:rsidRPr="00EC42CC">
        <w:t xml:space="preserve"> and that </w:t>
      </w:r>
      <w:r w:rsidR="00B90838">
        <w:t>SB</w:t>
      </w:r>
      <w:r w:rsidR="00EC42CC" w:rsidRPr="00EC42CC">
        <w:t xml:space="preserve"> has overall responsibility for the management of GSA support to that agency. Any other </w:t>
      </w:r>
      <w:r w:rsidR="00EC42CC">
        <w:t>GSA</w:t>
      </w:r>
      <w:r w:rsidR="00EC42CC" w:rsidRPr="00EC42CC">
        <w:t xml:space="preserve"> organization providing support to an agency </w:t>
      </w:r>
      <w:r w:rsidR="00EC42CC">
        <w:t xml:space="preserve">(such as the TCC) </w:t>
      </w:r>
      <w:r w:rsidR="00EC42CC" w:rsidRPr="00EC42CC">
        <w:t>work</w:t>
      </w:r>
      <w:r w:rsidR="00985864">
        <w:t>s</w:t>
      </w:r>
      <w:r w:rsidR="00EC42CC" w:rsidRPr="00EC42CC">
        <w:t xml:space="preserve"> with oversight from the </w:t>
      </w:r>
      <w:r w:rsidR="00B90838">
        <w:t>SB</w:t>
      </w:r>
      <w:r w:rsidR="00EC42CC" w:rsidRPr="00EC42CC">
        <w:t xml:space="preserve">. </w:t>
      </w:r>
      <w:r w:rsidR="000063F8">
        <w:t>T</w:t>
      </w:r>
      <w:r w:rsidR="000063F8" w:rsidRPr="00970CFF">
        <w:t xml:space="preserve">he </w:t>
      </w:r>
      <w:r w:rsidR="000063F8">
        <w:t xml:space="preserve">TCC </w:t>
      </w:r>
      <w:r w:rsidR="000063F8" w:rsidRPr="00970CFF">
        <w:t xml:space="preserve">provides Government-wide transition planning, execution, progress tracking, and reporting. </w:t>
      </w:r>
      <w:r w:rsidRPr="00970CFF">
        <w:t>GSA established the TCC, which is staffed by both GSA and contractor personnel</w:t>
      </w:r>
      <w:r w:rsidR="001F6E71">
        <w:t>,</w:t>
      </w:r>
      <w:r w:rsidRPr="00970CFF">
        <w:t xml:space="preserve"> to assist and support </w:t>
      </w:r>
      <w:r w:rsidR="00FD1E8C">
        <w:t>a</w:t>
      </w:r>
      <w:r w:rsidRPr="00970CFF">
        <w:t xml:space="preserve">gencies with the movement of services from the expiring contracts to EIS. The TCC </w:t>
      </w:r>
      <w:r w:rsidR="00F64B9C">
        <w:t xml:space="preserve">interacts extensively with </w:t>
      </w:r>
      <w:r w:rsidRPr="00970CFF">
        <w:t xml:space="preserve">agencies, existing contractors, EIS contractors, and oversight organizations such as </w:t>
      </w:r>
      <w:r w:rsidR="00A1066C" w:rsidRPr="00A1066C">
        <w:t xml:space="preserve">the </w:t>
      </w:r>
      <w:r w:rsidRPr="00970CFF">
        <w:t>OMB and Government Accountability Office (GAO).</w:t>
      </w:r>
    </w:p>
    <w:p w14:paraId="160E181F" w14:textId="77777777" w:rsidR="009B588A" w:rsidRPr="009B588A" w:rsidRDefault="00970CFF" w:rsidP="00E436C5">
      <w:pPr>
        <w:pStyle w:val="Heading2Hdbk"/>
      </w:pPr>
      <w:bookmarkStart w:id="31" w:name="_2.1_Security_Plan"/>
      <w:bookmarkStart w:id="32" w:name="_4.1_Transition_Approach"/>
      <w:bookmarkStart w:id="33" w:name="_Ref451426955"/>
      <w:bookmarkStart w:id="34" w:name="_Toc12525452"/>
      <w:bookmarkStart w:id="35" w:name="_Toc498950254"/>
      <w:bookmarkStart w:id="36" w:name="_Toc107325284"/>
      <w:bookmarkEnd w:id="8"/>
      <w:bookmarkEnd w:id="31"/>
      <w:bookmarkEnd w:id="32"/>
      <w:r w:rsidRPr="00970CFF">
        <w:t>Transition Approach</w:t>
      </w:r>
      <w:bookmarkEnd w:id="33"/>
      <w:bookmarkEnd w:id="34"/>
      <w:bookmarkEnd w:id="35"/>
      <w:bookmarkEnd w:id="36"/>
    </w:p>
    <w:p w14:paraId="35C0081F" w14:textId="6CFE7773" w:rsidR="00970CFF" w:rsidRDefault="00970CFF" w:rsidP="002466A5">
      <w:r w:rsidRPr="00970CFF">
        <w:t>In its report GAO-06-</w:t>
      </w:r>
      <w:r w:rsidR="005E0F1A">
        <w:t>47</w:t>
      </w:r>
      <w:r w:rsidR="005E0F1A" w:rsidRPr="00970CFF">
        <w:t>6</w:t>
      </w:r>
      <w:r w:rsidRPr="00970CFF">
        <w:t xml:space="preserve">, </w:t>
      </w:r>
      <w:r w:rsidRPr="00494672">
        <w:t>TELECOMMUNICATIONS: Full Adoption of Sound Transition Planning Practices by GSA and Selected Agencies Could Improve Planning Efforts</w:t>
      </w:r>
      <w:r w:rsidRPr="00970CFF">
        <w:t xml:space="preserve">, June 2006, the GAO identified the following best practices for conducting effective transition planning:  </w:t>
      </w:r>
    </w:p>
    <w:p w14:paraId="23046335" w14:textId="77777777" w:rsidR="007C4363" w:rsidRPr="00970CFF" w:rsidRDefault="007C4363" w:rsidP="002466A5"/>
    <w:p w14:paraId="7A5EA8D7" w14:textId="77777777" w:rsidR="00970CFF" w:rsidRPr="00494672" w:rsidRDefault="00970CFF" w:rsidP="007C4363">
      <w:pPr>
        <w:pStyle w:val="ListParagraph"/>
        <w:ind w:left="1080" w:hanging="360"/>
      </w:pPr>
      <w:r w:rsidRPr="00970CFF">
        <w:t>1</w:t>
      </w:r>
      <w:r w:rsidRPr="00494672">
        <w:t>.</w:t>
      </w:r>
      <w:r w:rsidRPr="00494672">
        <w:tab/>
        <w:t>Establish an accurate telecommunications inventory and an inventory maintenance process</w:t>
      </w:r>
    </w:p>
    <w:p w14:paraId="1C802FFA" w14:textId="77777777" w:rsidR="00970CFF" w:rsidRPr="00494672" w:rsidRDefault="00970CFF" w:rsidP="007C4363">
      <w:pPr>
        <w:pStyle w:val="ListParagraph"/>
        <w:ind w:left="1080" w:hanging="360"/>
      </w:pPr>
      <w:r w:rsidRPr="00494672">
        <w:t>2.</w:t>
      </w:r>
      <w:r w:rsidRPr="00494672">
        <w:tab/>
        <w:t>Perform a strategic analysis of telecommunications requirements and use this to shape the agency’s management approach and guide efforts when identifying resources and developing a transition plan</w:t>
      </w:r>
    </w:p>
    <w:p w14:paraId="7CBD44A3" w14:textId="77777777" w:rsidR="00970CFF" w:rsidRPr="00494672" w:rsidRDefault="00970CFF" w:rsidP="007C4363">
      <w:pPr>
        <w:pStyle w:val="ListParagraph"/>
        <w:ind w:left="1080" w:hanging="360"/>
      </w:pPr>
      <w:r w:rsidRPr="00494672">
        <w:t>3.</w:t>
      </w:r>
      <w:r w:rsidRPr="00494672">
        <w:tab/>
        <w:t>Establish a structured management approach that includes a dedicated transition management team that will use clear lines of communications in addition to key management processes, such as project management, configuration management, and change management</w:t>
      </w:r>
    </w:p>
    <w:p w14:paraId="03FF119C" w14:textId="77777777" w:rsidR="00970CFF" w:rsidRPr="00494672" w:rsidRDefault="00970CFF" w:rsidP="007C4363">
      <w:pPr>
        <w:pStyle w:val="ListParagraph"/>
        <w:ind w:left="1080" w:hanging="360"/>
      </w:pPr>
      <w:r w:rsidRPr="00494672">
        <w:t>4.</w:t>
      </w:r>
      <w:r w:rsidRPr="00494672">
        <w:tab/>
        <w:t>Identify the funding and human capital resources that the transition effort will require</w:t>
      </w:r>
    </w:p>
    <w:p w14:paraId="6B5352D4" w14:textId="2912A7DB" w:rsidR="00970CFF" w:rsidRPr="00494672" w:rsidRDefault="00970CFF" w:rsidP="007C4363">
      <w:pPr>
        <w:pStyle w:val="ListParagraph"/>
        <w:ind w:left="1080" w:hanging="360"/>
      </w:pPr>
      <w:r w:rsidRPr="00494672">
        <w:t>5.</w:t>
      </w:r>
      <w:r w:rsidRPr="00494672">
        <w:tab/>
        <w:t>Develop a transition plan that includes transition objectives, measures of success, risk assessment, and a detailed timeline</w:t>
      </w:r>
    </w:p>
    <w:p w14:paraId="769D81F4" w14:textId="77777777" w:rsidR="007C4363" w:rsidRDefault="007C4363" w:rsidP="002466A5"/>
    <w:p w14:paraId="138F600F" w14:textId="4509D406" w:rsidR="00494672" w:rsidRDefault="00970CFF" w:rsidP="002466A5">
      <w:r w:rsidRPr="00970CFF">
        <w:t xml:space="preserve">In a subsequent audit of transition practices, GAO reported in GAO-14-63, </w:t>
      </w:r>
      <w:r w:rsidRPr="00494672">
        <w:rPr>
          <w:i/>
        </w:rPr>
        <w:t>TELECOMMUNICATIONS: GSA Needs to Share and Prioritize Lessons Learned to Avoid Future Transition Delays</w:t>
      </w:r>
      <w:r w:rsidRPr="00970CFF">
        <w:t>, December 2013,</w:t>
      </w:r>
      <w:r w:rsidR="00054382">
        <w:t xml:space="preserve"> </w:t>
      </w:r>
      <w:r w:rsidRPr="00970CFF">
        <w:t xml:space="preserve">that each agency should </w:t>
      </w:r>
      <w:r w:rsidR="00DA23A4" w:rsidRPr="00DA23A4">
        <w:t>treat the transition as a “critical project</w:t>
      </w:r>
      <w:r w:rsidR="008636F8">
        <w:t>.</w:t>
      </w:r>
      <w:r w:rsidR="00DA23A4" w:rsidRPr="00DA23A4">
        <w:t xml:space="preserve">” As such, the agency should </w:t>
      </w:r>
      <w:r w:rsidRPr="00970CFF">
        <w:t xml:space="preserve">develop a transition project </w:t>
      </w:r>
      <w:r w:rsidRPr="00970CFF">
        <w:lastRenderedPageBreak/>
        <w:t>management plan that includes “a timeline of all activities that need to be completed, taking into account priorities relative to the agency’s mission critical systems, contingency plans, and identified risks.” Agencies’ transition teams, including project managers, telecommunications specialists, and contracting officers, should develop the Agency Transition Plan (ATP) and coordinate with executive leadership, such as the Chief Information Officer (CIO) as executive sponsor and other executives</w:t>
      </w:r>
      <w:r w:rsidR="007E0D7B">
        <w:t xml:space="preserve"> such as the Chief Financial Officer, Chief Acquisition Officer, and Chief Human Resources Officer</w:t>
      </w:r>
      <w:r w:rsidRPr="00970CFF">
        <w:t xml:space="preserve"> as appropriate. An outline to the ATP is included in Appendix B to facilitate this </w:t>
      </w:r>
      <w:r w:rsidRPr="0050626D">
        <w:t xml:space="preserve">process. </w:t>
      </w:r>
      <w:r w:rsidR="00496F00" w:rsidRPr="0050626D">
        <w:t xml:space="preserve">The Agency Transition Sponsor must e-mail the ATP to the TCC at </w:t>
      </w:r>
      <w:hyperlink r:id="rId19" w:history="1">
        <w:r w:rsidR="00EA76A4" w:rsidRPr="0050626D">
          <w:rPr>
            <w:rStyle w:val="Hyperlink"/>
          </w:rPr>
          <w:t>eistcc.ta@gsa.gov</w:t>
        </w:r>
      </w:hyperlink>
      <w:r w:rsidR="00496F00" w:rsidRPr="0050626D">
        <w:t xml:space="preserve"> by October 2016. The</w:t>
      </w:r>
      <w:r w:rsidR="00496F00" w:rsidRPr="00496F00">
        <w:t xml:space="preserve"> TCC will provide it to the GSA’s Assistant Commissioner of Federal Acquisition Service (FAS)/</w:t>
      </w:r>
      <w:r w:rsidR="00F311F8">
        <w:t>Information</w:t>
      </w:r>
      <w:r w:rsidR="00F311F8" w:rsidRPr="00496F00">
        <w:t xml:space="preserve"> </w:t>
      </w:r>
      <w:r w:rsidR="00496F00" w:rsidRPr="00496F00">
        <w:t xml:space="preserve">Technology </w:t>
      </w:r>
      <w:r w:rsidR="00F311F8">
        <w:t>Category</w:t>
      </w:r>
      <w:r w:rsidR="00F311F8" w:rsidRPr="00496F00">
        <w:t xml:space="preserve"> </w:t>
      </w:r>
      <w:r w:rsidR="00496F00" w:rsidRPr="00496F00">
        <w:t>(</w:t>
      </w:r>
      <w:r w:rsidR="00F311F8" w:rsidRPr="009A3003">
        <w:t>ITC</w:t>
      </w:r>
      <w:r w:rsidR="00496F00" w:rsidRPr="00496F00">
        <w:t>)</w:t>
      </w:r>
      <w:r w:rsidR="00F51D47">
        <w:t xml:space="preserve"> and to OMB</w:t>
      </w:r>
      <w:r w:rsidR="00496F00" w:rsidRPr="00496F00">
        <w:t>.</w:t>
      </w:r>
      <w:r w:rsidR="00496F00">
        <w:t xml:space="preserve"> </w:t>
      </w:r>
      <w:r w:rsidRPr="00970CFF">
        <w:t xml:space="preserve">The standardized format and required delivery ensure all stakeholders—including and especially the contractors--are aware of the agency’s plan and can better support meeting the agency’s objectives in conjunction with the overall objectives of the transition program.   </w:t>
      </w:r>
    </w:p>
    <w:p w14:paraId="7E64E102" w14:textId="77777777" w:rsidR="00494672" w:rsidRDefault="00494672" w:rsidP="00E436C5">
      <w:pPr>
        <w:pStyle w:val="Heading2Hdbk"/>
      </w:pPr>
      <w:bookmarkStart w:id="37" w:name="_Toc12525453"/>
      <w:bookmarkStart w:id="38" w:name="_Toc498950255"/>
      <w:bookmarkStart w:id="39" w:name="_Toc107325285"/>
      <w:r w:rsidRPr="00970CFF">
        <w:t xml:space="preserve">Transition </w:t>
      </w:r>
      <w:r>
        <w:t>Sequence of events</w:t>
      </w:r>
      <w:bookmarkEnd w:id="37"/>
      <w:bookmarkEnd w:id="38"/>
      <w:bookmarkEnd w:id="39"/>
    </w:p>
    <w:p w14:paraId="7F190774" w14:textId="2517C897" w:rsidR="00494672" w:rsidRPr="00494672" w:rsidRDefault="00494672" w:rsidP="002466A5">
      <w:r w:rsidRPr="00494672">
        <w:t xml:space="preserve">To keep the focus on timely transition, GSA has identified </w:t>
      </w:r>
      <w:r w:rsidRPr="00EC3C27">
        <w:t>critical milestones</w:t>
      </w:r>
      <w:r w:rsidRPr="00494672">
        <w:t xml:space="preserve"> for agencies to meet. These, along with other common steps in transition, comprise the following activities necessary for agencies to successfully complete transition:</w:t>
      </w:r>
    </w:p>
    <w:p w14:paraId="7E3FE58C" w14:textId="77777777" w:rsidR="00494672" w:rsidRPr="00494672" w:rsidRDefault="00494672" w:rsidP="00D8215D">
      <w:pPr>
        <w:pStyle w:val="ListParagraph"/>
        <w:numPr>
          <w:ilvl w:val="0"/>
          <w:numId w:val="27"/>
        </w:numPr>
        <w:spacing w:before="120"/>
      </w:pPr>
      <w:r w:rsidRPr="00494672">
        <w:t>PRIOR TO AWARD OF EIS CONTRACTS</w:t>
      </w:r>
    </w:p>
    <w:p w14:paraId="7456282A" w14:textId="282A29FD" w:rsidR="00494672" w:rsidRPr="00494672" w:rsidRDefault="007E0D7B" w:rsidP="00142CB8">
      <w:pPr>
        <w:pStyle w:val="ListParagraph"/>
        <w:numPr>
          <w:ilvl w:val="0"/>
          <w:numId w:val="28"/>
        </w:numPr>
      </w:pPr>
      <w:r w:rsidRPr="007E0D7B">
        <w:t xml:space="preserve">Develop funding requirements and coordinate with agency budget submissions for </w:t>
      </w:r>
      <w:r w:rsidR="000B2309">
        <w:t xml:space="preserve">fiscal year </w:t>
      </w:r>
      <w:r w:rsidR="000B2309" w:rsidRPr="00E36E0A">
        <w:t>(</w:t>
      </w:r>
      <w:r w:rsidRPr="00E36E0A">
        <w:t>FY</w:t>
      </w:r>
      <w:r w:rsidR="000B2309" w:rsidRPr="00E36E0A">
        <w:t>)</w:t>
      </w:r>
      <w:r w:rsidRPr="00E36E0A">
        <w:t xml:space="preserve"> 2017 – </w:t>
      </w:r>
      <w:r w:rsidR="00ED2CD0" w:rsidRPr="00E36E0A">
        <w:t>20</w:t>
      </w:r>
      <w:r w:rsidR="00E1096D">
        <w:t>2</w:t>
      </w:r>
      <w:r w:rsidR="00B14F39">
        <w:t>3</w:t>
      </w:r>
      <w:r w:rsidR="00494672" w:rsidRPr="00494672">
        <w:t>. T</w:t>
      </w:r>
      <w:r w:rsidR="00072C7E">
        <w:t>ask Orders (T</w:t>
      </w:r>
      <w:r w:rsidR="00AD3DC9">
        <w:t>Os</w:t>
      </w:r>
      <w:r w:rsidR="00072C7E">
        <w:t>)</w:t>
      </w:r>
      <w:r w:rsidR="00AD3DC9">
        <w:t xml:space="preserve"> </w:t>
      </w:r>
      <w:r w:rsidR="00494672" w:rsidRPr="00494672">
        <w:t>on EIS require funding at the time of issue; therefore, it is critical that agencies budget for installation charges for services on EIS starting in FY17</w:t>
      </w:r>
      <w:r w:rsidR="00E1096D">
        <w:t>,</w:t>
      </w:r>
      <w:r w:rsidR="00142CB8" w:rsidRPr="00142CB8">
        <w:t xml:space="preserve"> and</w:t>
      </w:r>
      <w:r w:rsidR="00142CB8">
        <w:t xml:space="preserve"> f</w:t>
      </w:r>
      <w:r w:rsidR="00142CB8" w:rsidRPr="00142CB8">
        <w:t>or monthly services starting in the fiscal year services are anticipated to begin</w:t>
      </w:r>
      <w:r w:rsidR="00494672" w:rsidRPr="00494672">
        <w:t xml:space="preserve">. GSA can help estimate those charges and advise on strategies to minimize the cost to the agencies. For additional information, contact your </w:t>
      </w:r>
      <w:r w:rsidR="00B90838">
        <w:t>SB</w:t>
      </w:r>
      <w:r w:rsidR="00494672" w:rsidRPr="00494672">
        <w:t>.</w:t>
      </w:r>
    </w:p>
    <w:p w14:paraId="284FBA49" w14:textId="77777777" w:rsidR="00494672" w:rsidRPr="00494672" w:rsidRDefault="00494672" w:rsidP="00A1066C">
      <w:pPr>
        <w:pStyle w:val="ListParagraph"/>
        <w:numPr>
          <w:ilvl w:val="0"/>
          <w:numId w:val="28"/>
        </w:numPr>
      </w:pPr>
      <w:r w:rsidRPr="00494672">
        <w:t xml:space="preserve">Identify the Agency Transition Sponsor </w:t>
      </w:r>
    </w:p>
    <w:p w14:paraId="15AA5312" w14:textId="7F72BC1D" w:rsidR="00494672" w:rsidRPr="00494672" w:rsidRDefault="00494672" w:rsidP="00A1066C">
      <w:pPr>
        <w:pStyle w:val="ListParagraph"/>
        <w:numPr>
          <w:ilvl w:val="0"/>
          <w:numId w:val="28"/>
        </w:numPr>
      </w:pPr>
      <w:r w:rsidRPr="00494672">
        <w:t xml:space="preserve">Understand EIS </w:t>
      </w:r>
      <w:r w:rsidR="00F311F8">
        <w:t>s</w:t>
      </w:r>
      <w:r w:rsidRPr="00494672">
        <w:t>ervices, management and operations requirements, and pricing structure</w:t>
      </w:r>
      <w:r w:rsidR="00A560FC">
        <w:t>s</w:t>
      </w:r>
      <w:r w:rsidRPr="00494672">
        <w:t xml:space="preserve">; become familiar with the EIS Request for Proposal (RFP) (see </w:t>
      </w:r>
      <w:hyperlink r:id="rId20" w:history="1">
        <w:r w:rsidR="00E1096D" w:rsidRPr="00E1096D">
          <w:rPr>
            <w:rStyle w:val="Hyperlink"/>
          </w:rPr>
          <w:t>gsa.gov/eis</w:t>
        </w:r>
      </w:hyperlink>
      <w:r w:rsidR="00E1096D">
        <w:t xml:space="preserve">) </w:t>
      </w:r>
      <w:r w:rsidRPr="00494672">
        <w:t xml:space="preserve">and subscribe to Interact at </w:t>
      </w:r>
      <w:hyperlink r:id="rId21" w:history="1">
        <w:r w:rsidRPr="00494672">
          <w:rPr>
            <w:rStyle w:val="Hyperlink"/>
          </w:rPr>
          <w:t>https://interact.gsa.gov/</w:t>
        </w:r>
      </w:hyperlink>
      <w:r w:rsidR="002726DD">
        <w:rPr>
          <w:rStyle w:val="Hyperlink"/>
        </w:rPr>
        <w:t>eis</w:t>
      </w:r>
      <w:r w:rsidRPr="00494672">
        <w:rPr>
          <w:rStyle w:val="HTMLCite"/>
        </w:rPr>
        <w:t xml:space="preserve"> </w:t>
      </w:r>
      <w:r w:rsidRPr="00494672">
        <w:t>for real-time notifications of updates</w:t>
      </w:r>
    </w:p>
    <w:p w14:paraId="42419721" w14:textId="0CDEC5E2" w:rsidR="00494672" w:rsidRPr="00494672" w:rsidRDefault="00494672" w:rsidP="00A1066C">
      <w:pPr>
        <w:pStyle w:val="ListParagraph"/>
        <w:numPr>
          <w:ilvl w:val="0"/>
          <w:numId w:val="28"/>
        </w:numPr>
      </w:pPr>
      <w:r w:rsidRPr="00494672">
        <w:t xml:space="preserve">Appoint both a LTM and TOCO and identify </w:t>
      </w:r>
      <w:r w:rsidR="006C3AA5">
        <w:t xml:space="preserve">the </w:t>
      </w:r>
      <w:r w:rsidRPr="00494672">
        <w:t>transition organization (se</w:t>
      </w:r>
      <w:r w:rsidR="006B31DB">
        <w:t xml:space="preserve">e Section </w:t>
      </w:r>
      <w:r w:rsidR="006B31DB">
        <w:fldChar w:fldCharType="begin"/>
      </w:r>
      <w:r w:rsidR="006B31DB">
        <w:instrText xml:space="preserve"> REF _Ref451426777 \w \h </w:instrText>
      </w:r>
      <w:r w:rsidR="006B31DB">
        <w:fldChar w:fldCharType="separate"/>
      </w:r>
      <w:r w:rsidR="007A4B19">
        <w:t>5</w:t>
      </w:r>
      <w:r w:rsidR="006B31DB">
        <w:fldChar w:fldCharType="end"/>
      </w:r>
      <w:r w:rsidR="006B31DB">
        <w:t xml:space="preserve">, </w:t>
      </w:r>
      <w:r w:rsidR="006B31DB">
        <w:fldChar w:fldCharType="begin"/>
      </w:r>
      <w:r w:rsidR="006B31DB">
        <w:instrText xml:space="preserve"> REF _Ref451426779 \h </w:instrText>
      </w:r>
      <w:r w:rsidR="006B31DB">
        <w:fldChar w:fldCharType="separate"/>
      </w:r>
      <w:r w:rsidR="007A4B19">
        <w:t>Roles and Responsibilities</w:t>
      </w:r>
      <w:r w:rsidR="006B31DB">
        <w:fldChar w:fldCharType="end"/>
      </w:r>
      <w:r w:rsidRPr="00494672">
        <w:t>)</w:t>
      </w:r>
    </w:p>
    <w:p w14:paraId="694FB2AA" w14:textId="703B4CF7" w:rsidR="00494672" w:rsidRPr="00494672" w:rsidRDefault="00494672" w:rsidP="00A1066C">
      <w:pPr>
        <w:pStyle w:val="ListParagraph"/>
        <w:numPr>
          <w:ilvl w:val="1"/>
          <w:numId w:val="27"/>
        </w:numPr>
      </w:pPr>
      <w:r w:rsidRPr="00494672">
        <w:t xml:space="preserve">Confirm existing Networx, WITS 3, and </w:t>
      </w:r>
      <w:r w:rsidR="008C4A5F">
        <w:t xml:space="preserve">GSA </w:t>
      </w:r>
      <w:r w:rsidR="00754B25">
        <w:t>Regional local service</w:t>
      </w:r>
      <w:r w:rsidRPr="00494672">
        <w:t xml:space="preserve"> inventories to ensure they are accurate and current by </w:t>
      </w:r>
      <w:r w:rsidRPr="006C3AA5">
        <w:t>October 2016</w:t>
      </w:r>
      <w:r w:rsidR="00643CD6">
        <w:t xml:space="preserve">; for instructions go to </w:t>
      </w:r>
      <w:r w:rsidR="00643CD6" w:rsidRPr="00E436C5">
        <w:rPr>
          <w:rStyle w:val="Hyperlink"/>
        </w:rPr>
        <w:t>gsa.gov/</w:t>
      </w:r>
      <w:r w:rsidR="00643CD6" w:rsidRPr="0068276B">
        <w:rPr>
          <w:rStyle w:val="Hyperlink"/>
        </w:rPr>
        <w:t>eis</w:t>
      </w:r>
    </w:p>
    <w:p w14:paraId="31861041" w14:textId="77777777" w:rsidR="00494672" w:rsidRPr="00494672" w:rsidRDefault="00494672" w:rsidP="00A1066C">
      <w:pPr>
        <w:pStyle w:val="ListParagraph"/>
        <w:numPr>
          <w:ilvl w:val="1"/>
          <w:numId w:val="27"/>
        </w:numPr>
      </w:pPr>
      <w:r w:rsidRPr="00494672">
        <w:t>Evaluate current technical solutions and develop transition planning for target technical solutions, including upgrades, transformations, retirement, or other changes</w:t>
      </w:r>
    </w:p>
    <w:p w14:paraId="7F2A680C" w14:textId="3CFF7C6F" w:rsidR="00494672" w:rsidRPr="00494672" w:rsidRDefault="00494672" w:rsidP="008026C8">
      <w:pPr>
        <w:pStyle w:val="ListParagraph"/>
        <w:numPr>
          <w:ilvl w:val="1"/>
          <w:numId w:val="27"/>
        </w:numPr>
      </w:pPr>
      <w:r w:rsidRPr="00494672">
        <w:t xml:space="preserve">Develop ATP by </w:t>
      </w:r>
      <w:r w:rsidRPr="006C3AA5">
        <w:t>October 2016</w:t>
      </w:r>
      <w:r w:rsidR="00DA23A4" w:rsidRPr="00DA23A4">
        <w:t xml:space="preserve"> that </w:t>
      </w:r>
      <w:r w:rsidR="00DA23A4">
        <w:t>clearly identifies</w:t>
      </w:r>
      <w:r w:rsidR="006C1B7C">
        <w:t xml:space="preserve"> the number of FO</w:t>
      </w:r>
      <w:r w:rsidR="00DA23A4" w:rsidRPr="00DA23A4">
        <w:t xml:space="preserve"> solicitations </w:t>
      </w:r>
      <w:r w:rsidR="00DA23A4">
        <w:t xml:space="preserve">for transition, </w:t>
      </w:r>
      <w:r w:rsidR="00DA23A4" w:rsidRPr="00DA23A4">
        <w:t>incremental transition costs, and a schedule for transition.</w:t>
      </w:r>
      <w:r w:rsidR="008026C8" w:rsidRPr="008026C8">
        <w:t xml:space="preserve"> </w:t>
      </w:r>
      <w:r w:rsidR="008026C8">
        <w:t xml:space="preserve">Specifying FO plans or </w:t>
      </w:r>
      <w:r w:rsidR="00BD1FCB">
        <w:t xml:space="preserve">solicitation </w:t>
      </w:r>
      <w:r w:rsidR="008026C8">
        <w:t>forecast</w:t>
      </w:r>
      <w:r w:rsidR="00BD1FCB">
        <w:t>s</w:t>
      </w:r>
      <w:r w:rsidR="008026C8">
        <w:t xml:space="preserve"> will help agencies </w:t>
      </w:r>
      <w:r w:rsidR="008026C8">
        <w:lastRenderedPageBreak/>
        <w:t xml:space="preserve">manage the work, and sharing those plans with GSA and the EIS contractors will allow greater collaboration and management of resources for all involved. Agencies should provide their </w:t>
      </w:r>
      <w:r w:rsidR="00B90838">
        <w:t>SB</w:t>
      </w:r>
      <w:r w:rsidR="00E36E0A">
        <w:t>s</w:t>
      </w:r>
      <w:r w:rsidR="008026C8">
        <w:t xml:space="preserve"> an updated solicitation forecast and estimated release date</w:t>
      </w:r>
      <w:r w:rsidR="006C3AA5">
        <w:t>(s)</w:t>
      </w:r>
      <w:r w:rsidR="008026C8">
        <w:t xml:space="preserve"> by </w:t>
      </w:r>
      <w:r w:rsidR="008026C8" w:rsidRPr="00287514">
        <w:t>July 2017</w:t>
      </w:r>
      <w:r w:rsidR="000F4EFB">
        <w:t xml:space="preserve"> and any updates thereafter as required</w:t>
      </w:r>
      <w:r w:rsidR="008026C8">
        <w:t>.</w:t>
      </w:r>
    </w:p>
    <w:p w14:paraId="18E69DC8" w14:textId="37299F37" w:rsidR="007E0D7B" w:rsidRDefault="007E0D7B" w:rsidP="00A1066C">
      <w:pPr>
        <w:pStyle w:val="ListParagraph"/>
        <w:numPr>
          <w:ilvl w:val="1"/>
          <w:numId w:val="27"/>
        </w:numPr>
      </w:pPr>
      <w:r>
        <w:t>Estimate</w:t>
      </w:r>
      <w:r w:rsidRPr="007E0D7B">
        <w:t xml:space="preserve"> human </w:t>
      </w:r>
      <w:r>
        <w:t>resource</w:t>
      </w:r>
      <w:r w:rsidRPr="007E0D7B">
        <w:t xml:space="preserve"> requirements and coordinate with agency staffing and training plans for FY 2016-</w:t>
      </w:r>
      <w:r w:rsidR="00ED2CD0" w:rsidRPr="00287514">
        <w:t>20</w:t>
      </w:r>
      <w:r w:rsidR="00ED2CD0">
        <w:t>23</w:t>
      </w:r>
    </w:p>
    <w:p w14:paraId="623FBA3A" w14:textId="59579FD1" w:rsidR="00494672" w:rsidRPr="00494672" w:rsidRDefault="00494672" w:rsidP="00A1066C">
      <w:pPr>
        <w:pStyle w:val="ListParagraph"/>
        <w:numPr>
          <w:ilvl w:val="1"/>
          <w:numId w:val="27"/>
        </w:numPr>
      </w:pPr>
      <w:r w:rsidRPr="00494672">
        <w:t>Initiate solicitations for the</w:t>
      </w:r>
      <w:r w:rsidR="000B2309">
        <w:t xml:space="preserve"> </w:t>
      </w:r>
      <w:r w:rsidRPr="00494672">
        <w:t>FO process to select EIS contractors, such as RFPs for complex requirements and RFQs for simple requirements</w:t>
      </w:r>
    </w:p>
    <w:p w14:paraId="41D8223B" w14:textId="119AE840" w:rsidR="00494672" w:rsidRPr="00494672" w:rsidRDefault="00494672" w:rsidP="00A1066C">
      <w:pPr>
        <w:pStyle w:val="ListParagraph"/>
        <w:numPr>
          <w:ilvl w:val="1"/>
          <w:numId w:val="27"/>
        </w:numPr>
      </w:pPr>
      <w:r w:rsidRPr="00494672">
        <w:t>Execute an Interagency Agreement (</w:t>
      </w:r>
      <w:r w:rsidR="00B25A7C">
        <w:t>IAA</w:t>
      </w:r>
      <w:r w:rsidRPr="00494672">
        <w:t>) with GSA for assistance, as applicable</w:t>
      </w:r>
      <w:r w:rsidR="00643CD6">
        <w:t>.</w:t>
      </w:r>
    </w:p>
    <w:p w14:paraId="1BA5FF23" w14:textId="77777777" w:rsidR="00494672" w:rsidRPr="00494672" w:rsidRDefault="00494672" w:rsidP="002466A5">
      <w:pPr>
        <w:pStyle w:val="ListParagraph"/>
      </w:pPr>
    </w:p>
    <w:p w14:paraId="4A39A30D" w14:textId="77777777" w:rsidR="00494672" w:rsidRPr="00494672" w:rsidRDefault="00494672" w:rsidP="00A1066C">
      <w:pPr>
        <w:pStyle w:val="ListParagraph"/>
        <w:numPr>
          <w:ilvl w:val="0"/>
          <w:numId w:val="27"/>
        </w:numPr>
      </w:pPr>
      <w:r w:rsidRPr="00494672">
        <w:t>AFTER AWARD OF EIS CONTRACTS</w:t>
      </w:r>
    </w:p>
    <w:p w14:paraId="2031128D" w14:textId="4E8CE281" w:rsidR="00494672" w:rsidRPr="00494672" w:rsidRDefault="0023385E" w:rsidP="00A1066C">
      <w:pPr>
        <w:pStyle w:val="ListParagraph"/>
        <w:numPr>
          <w:ilvl w:val="1"/>
          <w:numId w:val="27"/>
        </w:numPr>
      </w:pPr>
      <w:r>
        <w:t xml:space="preserve">Attend training and receive </w:t>
      </w:r>
      <w:r w:rsidR="00494672" w:rsidRPr="00494672">
        <w:t xml:space="preserve">a </w:t>
      </w:r>
      <w:r w:rsidR="00957F56">
        <w:t>Delegation of Procurement Authority (</w:t>
      </w:r>
      <w:r w:rsidR="00494672" w:rsidRPr="00494672">
        <w:t>DPA</w:t>
      </w:r>
      <w:r w:rsidR="00957F56">
        <w:t>)</w:t>
      </w:r>
      <w:r w:rsidR="00494672" w:rsidRPr="00494672">
        <w:t xml:space="preserve"> from GSA to agency </w:t>
      </w:r>
      <w:r w:rsidR="00991F20">
        <w:t>Ordering Contracting Officers (</w:t>
      </w:r>
      <w:r w:rsidR="00494672" w:rsidRPr="00494672">
        <w:t>OCOs</w:t>
      </w:r>
      <w:r w:rsidR="00991F20">
        <w:t>)</w:t>
      </w:r>
    </w:p>
    <w:p w14:paraId="15A1631F" w14:textId="5E5073F1" w:rsidR="00494672" w:rsidRDefault="00494672" w:rsidP="00A1066C">
      <w:pPr>
        <w:pStyle w:val="ListParagraph"/>
        <w:numPr>
          <w:ilvl w:val="1"/>
          <w:numId w:val="27"/>
        </w:numPr>
      </w:pPr>
      <w:r w:rsidRPr="00494672">
        <w:t xml:space="preserve">Conduct </w:t>
      </w:r>
      <w:r w:rsidR="00E01619">
        <w:t>FO</w:t>
      </w:r>
      <w:r w:rsidRPr="00494672">
        <w:t xml:space="preserve"> selection of contractor(s) and award </w:t>
      </w:r>
      <w:r w:rsidRPr="00494672">
        <w:rPr>
          <w:u w:val="single"/>
        </w:rPr>
        <w:t>fully-funded</w:t>
      </w:r>
      <w:r w:rsidRPr="00494672">
        <w:t xml:space="preserve"> </w:t>
      </w:r>
      <w:r w:rsidR="00AD3DC9">
        <w:t>TOs</w:t>
      </w:r>
      <w:r w:rsidRPr="00494672">
        <w:t xml:space="preserve"> </w:t>
      </w:r>
    </w:p>
    <w:p w14:paraId="6B935D02" w14:textId="77777777" w:rsidR="00915793" w:rsidRDefault="00A1066C" w:rsidP="00915793">
      <w:pPr>
        <w:pStyle w:val="ListParagraph"/>
        <w:numPr>
          <w:ilvl w:val="1"/>
          <w:numId w:val="27"/>
        </w:numPr>
      </w:pPr>
      <w:r>
        <w:t>Update ATP as appropriate and share with GSA</w:t>
      </w:r>
    </w:p>
    <w:p w14:paraId="6B646311" w14:textId="797E258B" w:rsidR="00A1066C" w:rsidRPr="00494672" w:rsidRDefault="00915793" w:rsidP="00915793">
      <w:pPr>
        <w:pStyle w:val="ListParagraph"/>
        <w:numPr>
          <w:ilvl w:val="1"/>
          <w:numId w:val="27"/>
        </w:numPr>
      </w:pPr>
      <w:r>
        <w:t>Provide GSA with updates as</w:t>
      </w:r>
      <w:r w:rsidRPr="00915793">
        <w:t xml:space="preserve"> the forecast </w:t>
      </w:r>
      <w:r>
        <w:t xml:space="preserve">for FO solicitations </w:t>
      </w:r>
      <w:r w:rsidRPr="00915793">
        <w:t>changes</w:t>
      </w:r>
      <w:r w:rsidR="00221023">
        <w:t xml:space="preserve"> or at least quarterly beginning in July 2017</w:t>
      </w:r>
      <w:r w:rsidRPr="00915793">
        <w:t>. GSA will share these solicitation forecasts with EIS contractors to allow them to plan for responding</w:t>
      </w:r>
      <w:r w:rsidR="00A560FC">
        <w:t>.</w:t>
      </w:r>
    </w:p>
    <w:p w14:paraId="053975F8" w14:textId="77777777" w:rsidR="00494672" w:rsidRDefault="00A1066C" w:rsidP="00A1066C">
      <w:pPr>
        <w:pStyle w:val="ListParagraph"/>
        <w:numPr>
          <w:ilvl w:val="1"/>
          <w:numId w:val="27"/>
        </w:numPr>
      </w:pPr>
      <w:r>
        <w:t>O</w:t>
      </w:r>
      <w:r w:rsidR="00494672" w:rsidRPr="00494672">
        <w:t>rder</w:t>
      </w:r>
      <w:r>
        <w:t xml:space="preserve"> service</w:t>
      </w:r>
      <w:r w:rsidR="00494672" w:rsidRPr="00494672">
        <w:t>s for transition on EIS</w:t>
      </w:r>
    </w:p>
    <w:p w14:paraId="4F3C585F" w14:textId="45016278" w:rsidR="00CF0657" w:rsidRPr="00494672" w:rsidRDefault="00CF0657" w:rsidP="00A1066C">
      <w:pPr>
        <w:pStyle w:val="ListParagraph"/>
        <w:numPr>
          <w:ilvl w:val="1"/>
          <w:numId w:val="27"/>
        </w:numPr>
      </w:pPr>
      <w:r>
        <w:t>Prepare for service cutover</w:t>
      </w:r>
    </w:p>
    <w:p w14:paraId="086F6910" w14:textId="008294A2" w:rsidR="00494672" w:rsidRPr="00494672" w:rsidRDefault="00494672" w:rsidP="00A2213F">
      <w:pPr>
        <w:pStyle w:val="ListParagraph"/>
        <w:numPr>
          <w:ilvl w:val="1"/>
          <w:numId w:val="27"/>
        </w:numPr>
      </w:pPr>
      <w:r w:rsidRPr="00494672">
        <w:t xml:space="preserve">Order disconnects on Networx, WITS 3, and </w:t>
      </w:r>
      <w:r w:rsidR="008C4A5F">
        <w:t xml:space="preserve">GSA </w:t>
      </w:r>
      <w:r w:rsidR="00754B25">
        <w:t>Regional local service</w:t>
      </w:r>
      <w:r w:rsidR="00991F20" w:rsidRPr="00494672">
        <w:t xml:space="preserve"> </w:t>
      </w:r>
      <w:r w:rsidRPr="00494672">
        <w:t>contracts</w:t>
      </w:r>
      <w:r w:rsidR="00A2213F">
        <w:t>.</w:t>
      </w:r>
    </w:p>
    <w:p w14:paraId="351E469B" w14:textId="1868E244" w:rsidR="00494672" w:rsidRDefault="00494672" w:rsidP="00D8215D">
      <w:pPr>
        <w:spacing w:before="120"/>
      </w:pPr>
      <w:r w:rsidRPr="00494672">
        <w:t>Figure 1</w:t>
      </w:r>
      <w:r w:rsidR="008626CD">
        <w:t xml:space="preserve"> </w:t>
      </w:r>
      <w:r w:rsidRPr="00494672">
        <w:t xml:space="preserve">depicts a sequence of events and deadlines for agencies to successfully accomplish transition activities.  Note that in order to expedite the FO process, agencies are advised to begin preparing their solicitations in advance of EIS award and expect to </w:t>
      </w:r>
      <w:r w:rsidR="00B14EBE">
        <w:t>issue</w:t>
      </w:r>
      <w:r w:rsidR="00B14EBE" w:rsidRPr="00494672">
        <w:t xml:space="preserve"> </w:t>
      </w:r>
      <w:r w:rsidRPr="00494672">
        <w:t xml:space="preserve">those solicitations </w:t>
      </w:r>
      <w:r w:rsidR="00B14EBE">
        <w:t xml:space="preserve">to industry </w:t>
      </w:r>
      <w:r w:rsidRPr="00494672">
        <w:t>as soon as possible after award.</w:t>
      </w:r>
      <w:r w:rsidR="005324BC">
        <w:t xml:space="preserve"> </w:t>
      </w:r>
      <w:r w:rsidR="00E02750">
        <w:t xml:space="preserve">A detailed list of transition activities for agencies is provided in </w:t>
      </w:r>
      <w:r w:rsidR="009D750B" w:rsidRPr="009D750B">
        <w:t>Appendix E</w:t>
      </w:r>
      <w:r w:rsidR="008626CD">
        <w:t xml:space="preserve"> – A</w:t>
      </w:r>
      <w:r w:rsidR="00B82CCD">
        <w:t>gency Transition Checklist</w:t>
      </w:r>
      <w:r w:rsidR="008626CD">
        <w:t>.</w:t>
      </w:r>
    </w:p>
    <w:p w14:paraId="65878033" w14:textId="77777777" w:rsidR="000063F8" w:rsidRDefault="000063F8" w:rsidP="002466A5"/>
    <w:p w14:paraId="32806C58" w14:textId="1D9B1B4D" w:rsidR="003E00DA" w:rsidRDefault="00B35828" w:rsidP="00E436C5">
      <w:pPr>
        <w:keepNext/>
      </w:pPr>
      <w:r w:rsidRPr="00B35828">
        <w:rPr>
          <w:noProof/>
        </w:rPr>
        <w:drawing>
          <wp:inline distT="0" distB="0" distL="0" distR="0" wp14:anchorId="70B8E034" wp14:editId="63AC4BE6">
            <wp:extent cx="5943600" cy="1030605"/>
            <wp:effectExtent l="0" t="0" r="0" b="0"/>
            <wp:docPr id="12" name="Content Placeholder 11" descr="Timeline showing transition program schedule and milestones: validate inventory 2015-2016, EIS Awards 2017, FO Decisions 2017-2019, Transition Services 2017-2022, Sign MOUs for Cont of Service 2022, Disconnect Agencies w/o MOUs 2022-2023, Cont of Service Period w/MOUs 2023-2024">
              <a:extLst xmlns:a="http://schemas.openxmlformats.org/drawingml/2006/main">
                <a:ext uri="{FF2B5EF4-FFF2-40B4-BE49-F238E27FC236}">
                  <a16:creationId xmlns:a16="http://schemas.microsoft.com/office/drawing/2014/main" id="{146D1F64-ACFC-44BB-8820-DDA3054837B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2" name="Content Placeholder 11" descr="Timeline showing transition program schedule and milestones: validate inventory 2015-2016, EIS Awards 2017, FO Decisions 2017-2019, Transition Services 2017-2022, Sign MOUs for Cont of Service 2022, Disconnect Agencies w/o MOUs 2022-2023, Cont of Service Period w/MOUs 2023-2024">
                      <a:extLst>
                        <a:ext uri="{FF2B5EF4-FFF2-40B4-BE49-F238E27FC236}">
                          <a16:creationId xmlns:a16="http://schemas.microsoft.com/office/drawing/2014/main" id="{146D1F64-ACFC-44BB-8820-DDA3054837B4}"/>
                        </a:ext>
                      </a:extLst>
                    </pic:cNvPr>
                    <pic:cNvPicPr>
                      <a:picLocks noGrp="1" noChangeAspect="1"/>
                    </pic:cNvPicPr>
                  </pic:nvPicPr>
                  <pic:blipFill>
                    <a:blip r:embed="rId22"/>
                    <a:stretch>
                      <a:fillRect/>
                    </a:stretch>
                  </pic:blipFill>
                  <pic:spPr>
                    <a:xfrm>
                      <a:off x="0" y="0"/>
                      <a:ext cx="5943600" cy="1030605"/>
                    </a:xfrm>
                    <a:prstGeom prst="rect">
                      <a:avLst/>
                    </a:prstGeom>
                  </pic:spPr>
                </pic:pic>
              </a:graphicData>
            </a:graphic>
          </wp:inline>
        </w:drawing>
      </w:r>
    </w:p>
    <w:p w14:paraId="1A4E00D7" w14:textId="1027F41C" w:rsidR="001970CD" w:rsidRPr="00E436C5" w:rsidRDefault="003E00DA" w:rsidP="00E436C5">
      <w:pPr>
        <w:pStyle w:val="Caption"/>
        <w:jc w:val="center"/>
        <w:rPr>
          <w:b w:val="0"/>
        </w:rPr>
      </w:pPr>
      <w:bookmarkStart w:id="40" w:name="_Toc12019909"/>
      <w:r w:rsidRPr="00E436C5">
        <w:rPr>
          <w:b w:val="0"/>
        </w:rPr>
        <w:t xml:space="preserve">Figure </w:t>
      </w:r>
      <w:r w:rsidR="00137099" w:rsidRPr="003C6FC8">
        <w:rPr>
          <w:b w:val="0"/>
        </w:rPr>
        <w:fldChar w:fldCharType="begin"/>
      </w:r>
      <w:r w:rsidR="00137099" w:rsidRPr="003C6FC8">
        <w:rPr>
          <w:b w:val="0"/>
        </w:rPr>
        <w:instrText xml:space="preserve"> SEQ Figure \* ARABIC </w:instrText>
      </w:r>
      <w:r w:rsidR="00137099" w:rsidRPr="003C6FC8">
        <w:rPr>
          <w:b w:val="0"/>
        </w:rPr>
        <w:fldChar w:fldCharType="separate"/>
      </w:r>
      <w:r w:rsidR="00B80F60" w:rsidRPr="003C6FC8">
        <w:rPr>
          <w:b w:val="0"/>
          <w:noProof/>
        </w:rPr>
        <w:t>1</w:t>
      </w:r>
      <w:r w:rsidR="00137099" w:rsidRPr="003C6FC8">
        <w:rPr>
          <w:b w:val="0"/>
          <w:noProof/>
        </w:rPr>
        <w:fldChar w:fldCharType="end"/>
      </w:r>
      <w:r w:rsidR="003C6FC8" w:rsidRPr="003C6FC8">
        <w:rPr>
          <w:b w:val="0"/>
        </w:rPr>
        <w:t>.</w:t>
      </w:r>
      <w:r w:rsidRPr="00E436C5">
        <w:rPr>
          <w:b w:val="0"/>
        </w:rPr>
        <w:t xml:space="preserve"> </w:t>
      </w:r>
      <w:r w:rsidRPr="00E436C5">
        <w:rPr>
          <w:b w:val="0"/>
          <w:i/>
        </w:rPr>
        <w:t>Transition Sequence of Events</w:t>
      </w:r>
      <w:bookmarkEnd w:id="40"/>
    </w:p>
    <w:p w14:paraId="67125111" w14:textId="77777777" w:rsidR="00494672" w:rsidRPr="00970CFF" w:rsidRDefault="00494672" w:rsidP="00E436C5">
      <w:pPr>
        <w:pStyle w:val="Heading1"/>
        <w:numPr>
          <w:ilvl w:val="0"/>
          <w:numId w:val="2"/>
        </w:numPr>
      </w:pPr>
      <w:bookmarkStart w:id="41" w:name="_Ref451426777"/>
      <w:bookmarkStart w:id="42" w:name="_Ref451426779"/>
      <w:bookmarkStart w:id="43" w:name="_Toc12525454"/>
      <w:bookmarkStart w:id="44" w:name="_Toc498950256"/>
      <w:bookmarkStart w:id="45" w:name="_Toc107325286"/>
      <w:r>
        <w:t>Roles and Responsibilities</w:t>
      </w:r>
      <w:bookmarkEnd w:id="41"/>
      <w:bookmarkEnd w:id="42"/>
      <w:bookmarkEnd w:id="43"/>
      <w:bookmarkEnd w:id="44"/>
      <w:bookmarkEnd w:id="45"/>
    </w:p>
    <w:p w14:paraId="44BCFA21" w14:textId="77777777" w:rsidR="00494672" w:rsidRPr="00494672" w:rsidRDefault="00494672" w:rsidP="002466A5">
      <w:r w:rsidRPr="00494672">
        <w:t>This section describes the roles and responsibilities of key personnel for transition to EIS.</w:t>
      </w:r>
    </w:p>
    <w:p w14:paraId="20D48E9E" w14:textId="77777777" w:rsidR="00494672" w:rsidRDefault="00494672" w:rsidP="00E436C5">
      <w:pPr>
        <w:pStyle w:val="Heading2Hdbk"/>
      </w:pPr>
      <w:bookmarkStart w:id="46" w:name="_Toc12525455"/>
      <w:bookmarkStart w:id="47" w:name="_Toc498950257"/>
      <w:bookmarkStart w:id="48" w:name="_Toc107325287"/>
      <w:r w:rsidRPr="00494672">
        <w:t>Agency Transition Sponsor</w:t>
      </w:r>
      <w:bookmarkEnd w:id="46"/>
      <w:bookmarkEnd w:id="47"/>
      <w:bookmarkEnd w:id="48"/>
    </w:p>
    <w:p w14:paraId="157019F2" w14:textId="66BEDF90" w:rsidR="00494672" w:rsidRPr="00494672" w:rsidRDefault="00494672" w:rsidP="002466A5">
      <w:r w:rsidRPr="00494672">
        <w:t xml:space="preserve">Each agency should have an executive level manager that sponsors the agency’s </w:t>
      </w:r>
      <w:r w:rsidRPr="00494672">
        <w:lastRenderedPageBreak/>
        <w:t>transition project; the lessons learned in previous transitions highlight the need for this support. The sponsor likely would be the CIO or executive of the organization to which the transition manager and team report or that otherwise has influence to secure the financial and human resources for the transition. The sponsor serves as a spokesperson to senior agency leadership, is the primary interface and partner to GSA executives, and is the agency’s representative accountable to oversight organizations, such as OMB.  Important activities for the Agency Transition Sponsor include approving the agency’s ATP and serving as an escalation path. For department level agencies, the sponsor should represent all components within the department.</w:t>
      </w:r>
    </w:p>
    <w:p w14:paraId="08A00487" w14:textId="77777777" w:rsidR="00494672" w:rsidRDefault="00494672" w:rsidP="00E436C5">
      <w:pPr>
        <w:pStyle w:val="Heading2Hdbk"/>
      </w:pPr>
      <w:bookmarkStart w:id="49" w:name="_Toc12525456"/>
      <w:bookmarkStart w:id="50" w:name="_Toc498950258"/>
      <w:bookmarkStart w:id="51" w:name="_Toc107325288"/>
      <w:r w:rsidRPr="00494672">
        <w:t>Agency Transition Managers</w:t>
      </w:r>
      <w:bookmarkEnd w:id="49"/>
      <w:bookmarkEnd w:id="50"/>
      <w:bookmarkEnd w:id="51"/>
    </w:p>
    <w:p w14:paraId="7DDA5793" w14:textId="494696BF" w:rsidR="00494672" w:rsidRPr="00494672" w:rsidRDefault="00494672" w:rsidP="002466A5">
      <w:r w:rsidRPr="00494672">
        <w:t>Each agency should have a</w:t>
      </w:r>
      <w:r w:rsidR="009157FB">
        <w:t>n</w:t>
      </w:r>
      <w:r w:rsidRPr="00494672">
        <w:t xml:space="preserve"> LTM and may also designate other supporting transition managers (TMs). A TM is a Government employee (or appointed contractor) who leads the planning, management, and implementation of the agency’s transition of services from Networx, WITS 3, and </w:t>
      </w:r>
      <w:r w:rsidR="008C4A5F">
        <w:t xml:space="preserve">GSA </w:t>
      </w:r>
      <w:r w:rsidR="00754B25">
        <w:t>Regional local service</w:t>
      </w:r>
      <w:r w:rsidRPr="00494672">
        <w:t xml:space="preserve"> contracts to EIS. The LTM develops the ATP; acts as the central point of contact to GSA’s TCC; executes, tracks, and reports transition activities; and escalates issues to GSA as appropriate. In GAO-14-63, GAO reported that “weaknesses in agencies’ project planning also contributed to the delays” in the transition to Networx. Therefore, the LTM must have strong project management, communications, and interpersonal skills and be a recognized leader within the agency.</w:t>
      </w:r>
    </w:p>
    <w:p w14:paraId="3C5EACDF" w14:textId="77777777" w:rsidR="00494672" w:rsidRPr="00494672" w:rsidRDefault="00494672" w:rsidP="002466A5"/>
    <w:p w14:paraId="171AB444" w14:textId="3411E6E4" w:rsidR="00494672" w:rsidRPr="00494672" w:rsidRDefault="00494672" w:rsidP="002466A5">
      <w:r w:rsidRPr="00494672">
        <w:t>The process for establishing a transition team starts with the Agency Transition Sponsor designating the LTM for the agency. The sponsor communicates this designation to GSA.  The LTM may then designate other supporting TMs for the agency.</w:t>
      </w:r>
    </w:p>
    <w:p w14:paraId="76825297" w14:textId="77777777" w:rsidR="006E36DC" w:rsidRDefault="006E36DC" w:rsidP="002466A5"/>
    <w:p w14:paraId="00A76C69" w14:textId="77777777" w:rsidR="00494672" w:rsidRDefault="00494672" w:rsidP="00E436C5">
      <w:pPr>
        <w:spacing w:after="120"/>
      </w:pPr>
      <w:r w:rsidRPr="00494672">
        <w:t>Agency TMs:</w:t>
      </w:r>
    </w:p>
    <w:p w14:paraId="5F79008E" w14:textId="77777777" w:rsidR="00494672" w:rsidRPr="00494672" w:rsidRDefault="00494672" w:rsidP="00C41B8F">
      <w:pPr>
        <w:pStyle w:val="ListParagraph"/>
        <w:numPr>
          <w:ilvl w:val="0"/>
          <w:numId w:val="29"/>
        </w:numPr>
      </w:pPr>
      <w:r w:rsidRPr="00494672">
        <w:t>Engage agency staff to address requirements</w:t>
      </w:r>
    </w:p>
    <w:p w14:paraId="401723EF" w14:textId="77777777" w:rsidR="00494672" w:rsidRPr="00494672" w:rsidRDefault="00494672" w:rsidP="00C41B8F">
      <w:pPr>
        <w:pStyle w:val="ListParagraph"/>
        <w:numPr>
          <w:ilvl w:val="0"/>
          <w:numId w:val="29"/>
        </w:numPr>
      </w:pPr>
      <w:r w:rsidRPr="00494672">
        <w:t>Provide overall project management of the agency’s transition to EIS, including meeting milestone deadlines</w:t>
      </w:r>
      <w:r w:rsidR="007E0D7B">
        <w:t xml:space="preserve"> and managing project risks</w:t>
      </w:r>
    </w:p>
    <w:p w14:paraId="52CA6FF9" w14:textId="77777777" w:rsidR="00494672" w:rsidRPr="00494672" w:rsidRDefault="00494672" w:rsidP="00A1066C">
      <w:pPr>
        <w:pStyle w:val="ListParagraph"/>
        <w:numPr>
          <w:ilvl w:val="0"/>
          <w:numId w:val="29"/>
        </w:numPr>
      </w:pPr>
      <w:r w:rsidRPr="00494672">
        <w:t>Plan and prepare agency-specific transition strategies and the ATP along with more detailed plans as needed</w:t>
      </w:r>
    </w:p>
    <w:p w14:paraId="3B368FBB" w14:textId="39600D2F" w:rsidR="00494672" w:rsidRPr="00494672" w:rsidRDefault="00494672" w:rsidP="00A1066C">
      <w:pPr>
        <w:pStyle w:val="ListParagraph"/>
        <w:numPr>
          <w:ilvl w:val="0"/>
          <w:numId w:val="29"/>
        </w:numPr>
      </w:pPr>
      <w:r w:rsidRPr="00494672">
        <w:t>Execute, track, and report on activities of the overall transition to ensure that the Agency Transition Sponsor, agency management, GSA, and oversight groups are well aware of the status and any jeopardies to meeting the schedule</w:t>
      </w:r>
    </w:p>
    <w:p w14:paraId="3734BE78" w14:textId="2DD399F0" w:rsidR="00494672" w:rsidRPr="00494672" w:rsidRDefault="00494672" w:rsidP="00A1066C">
      <w:pPr>
        <w:pStyle w:val="ListParagraph"/>
        <w:numPr>
          <w:ilvl w:val="0"/>
          <w:numId w:val="29"/>
        </w:numPr>
      </w:pPr>
      <w:r w:rsidRPr="00494672">
        <w:t>Identify the Agency</w:t>
      </w:r>
      <w:r w:rsidR="00E3665F">
        <w:t xml:space="preserve"> </w:t>
      </w:r>
      <w:r w:rsidRPr="00494672">
        <w:t>Bureau (AB) codes that fall under the authority of the agency, any hierarchical organization of those codes, and the mapping of Agency Hierarchy Codes (AHCs) to AB codes</w:t>
      </w:r>
    </w:p>
    <w:p w14:paraId="7D7BCAA5" w14:textId="77777777" w:rsidR="00494672" w:rsidRPr="00494672" w:rsidRDefault="00494672" w:rsidP="00A1066C">
      <w:pPr>
        <w:pStyle w:val="ListParagraph"/>
        <w:numPr>
          <w:ilvl w:val="0"/>
          <w:numId w:val="29"/>
        </w:numPr>
      </w:pPr>
      <w:r w:rsidRPr="00494672">
        <w:t>Confirm the agency’s inventory of services to transition</w:t>
      </w:r>
    </w:p>
    <w:p w14:paraId="111A1FF8" w14:textId="77777777" w:rsidR="00494672" w:rsidRPr="00494672" w:rsidRDefault="00494672" w:rsidP="00A1066C">
      <w:pPr>
        <w:pStyle w:val="ListParagraph"/>
        <w:numPr>
          <w:ilvl w:val="0"/>
          <w:numId w:val="29"/>
        </w:numPr>
      </w:pPr>
      <w:r w:rsidRPr="00494672">
        <w:t>Ensure transition orders are placed in a timely fashion</w:t>
      </w:r>
      <w:r w:rsidR="00A1066C">
        <w:t>; prioritize orders for services that have lengthy or complex installations</w:t>
      </w:r>
    </w:p>
    <w:p w14:paraId="324922AB" w14:textId="77777777" w:rsidR="009B2E95" w:rsidRDefault="009B2E95" w:rsidP="009B2E95">
      <w:pPr>
        <w:pStyle w:val="ListParagraph"/>
        <w:numPr>
          <w:ilvl w:val="0"/>
          <w:numId w:val="29"/>
        </w:numPr>
      </w:pPr>
      <w:r>
        <w:t>A</w:t>
      </w:r>
      <w:r w:rsidRPr="009B2E95">
        <w:t xml:space="preserve">nticipate the </w:t>
      </w:r>
      <w:r>
        <w:t>possibilities of</w:t>
      </w:r>
      <w:r w:rsidRPr="009B2E95">
        <w:t xml:space="preserve"> changing </w:t>
      </w:r>
      <w:r>
        <w:t>service providers</w:t>
      </w:r>
      <w:r w:rsidRPr="009B2E95">
        <w:t xml:space="preserve"> </w:t>
      </w:r>
      <w:r>
        <w:t xml:space="preserve">or services (such as changing connectivity requirements or solutions other than like-for-like </w:t>
      </w:r>
      <w:r>
        <w:lastRenderedPageBreak/>
        <w:t xml:space="preserve">replacement) </w:t>
      </w:r>
      <w:r w:rsidRPr="009B2E95">
        <w:t xml:space="preserve">during the transition effort and mitigate those factors in </w:t>
      </w:r>
      <w:r>
        <w:t>transition plan(s)</w:t>
      </w:r>
    </w:p>
    <w:p w14:paraId="3AC3CF17" w14:textId="77777777" w:rsidR="009B2E95" w:rsidRDefault="009B2E95" w:rsidP="009B2E95">
      <w:pPr>
        <w:pStyle w:val="ListParagraph"/>
        <w:numPr>
          <w:ilvl w:val="0"/>
          <w:numId w:val="29"/>
        </w:numPr>
      </w:pPr>
      <w:r>
        <w:t>Build time into transition plans to allow time for contract modifications, if needed</w:t>
      </w:r>
    </w:p>
    <w:p w14:paraId="04EC7E73" w14:textId="77777777" w:rsidR="00494672" w:rsidRPr="00494672" w:rsidRDefault="00494672" w:rsidP="009B2E95">
      <w:pPr>
        <w:pStyle w:val="ListParagraph"/>
        <w:numPr>
          <w:ilvl w:val="0"/>
          <w:numId w:val="29"/>
        </w:numPr>
      </w:pPr>
      <w:r w:rsidRPr="00494672">
        <w:t>Serve as the interface to the GSA TCC</w:t>
      </w:r>
    </w:p>
    <w:p w14:paraId="7FBBB420" w14:textId="77777777" w:rsidR="00494672" w:rsidRPr="00494672" w:rsidRDefault="00494672" w:rsidP="00A1066C">
      <w:pPr>
        <w:pStyle w:val="ListParagraph"/>
        <w:numPr>
          <w:ilvl w:val="0"/>
          <w:numId w:val="29"/>
        </w:numPr>
      </w:pPr>
      <w:r w:rsidRPr="00494672">
        <w:t>Coordinate training by GSA for the agency’s transition team and support personnel</w:t>
      </w:r>
    </w:p>
    <w:p w14:paraId="5EFA3239" w14:textId="7025724F" w:rsidR="00494672" w:rsidRPr="00494672" w:rsidRDefault="00494672" w:rsidP="00A1066C">
      <w:pPr>
        <w:pStyle w:val="ListParagraph"/>
        <w:numPr>
          <w:ilvl w:val="0"/>
          <w:numId w:val="29"/>
        </w:numPr>
      </w:pPr>
      <w:r w:rsidRPr="00494672">
        <w:t>Escalate issues to GSA, the EIS contractors, or agency management and Agency Transition Sponsor as appropriate</w:t>
      </w:r>
    </w:p>
    <w:p w14:paraId="3F65A5A0" w14:textId="3E8D62E3" w:rsidR="00494672" w:rsidRPr="00494672" w:rsidRDefault="00494672" w:rsidP="00D8215D">
      <w:pPr>
        <w:pStyle w:val="ListParagraph"/>
        <w:numPr>
          <w:ilvl w:val="0"/>
          <w:numId w:val="29"/>
        </w:numPr>
      </w:pPr>
      <w:r w:rsidRPr="00494672">
        <w:t>Submit or validate and forward requests for agency personnel to access transition systems in order to centrally control who has what authorities within each system</w:t>
      </w:r>
      <w:r w:rsidR="0045372C">
        <w:t>.</w:t>
      </w:r>
    </w:p>
    <w:p w14:paraId="398FBAB3" w14:textId="77777777" w:rsidR="00494672" w:rsidRDefault="00494672" w:rsidP="00E436C5">
      <w:pPr>
        <w:pStyle w:val="Heading2Hdbk"/>
      </w:pPr>
      <w:bookmarkStart w:id="52" w:name="_Toc12525457"/>
      <w:bookmarkStart w:id="53" w:name="_Toc498950259"/>
      <w:bookmarkStart w:id="54" w:name="_Toc107325289"/>
      <w:r w:rsidRPr="00494672">
        <w:t>Ordering Contracting Officers</w:t>
      </w:r>
      <w:bookmarkEnd w:id="52"/>
      <w:bookmarkEnd w:id="53"/>
      <w:bookmarkEnd w:id="54"/>
    </w:p>
    <w:p w14:paraId="59FA3B1E" w14:textId="2463F44A" w:rsidR="00494672" w:rsidRPr="00494672" w:rsidRDefault="00494672" w:rsidP="002466A5">
      <w:r w:rsidRPr="00494672">
        <w:t>The agency’s OCOs, or other officials who have authority to obligate the agency’s funds, are critical to the success of transition</w:t>
      </w:r>
      <w:r w:rsidR="00E3665F">
        <w:t>,</w:t>
      </w:r>
      <w:r w:rsidRPr="00494672">
        <w:t xml:space="preserve"> and therefore must be part of the agency’s transition team from the outset. The TOCO</w:t>
      </w:r>
      <w:r w:rsidR="00676429">
        <w:t>, as a key member of the transition team,</w:t>
      </w:r>
      <w:r w:rsidRPr="00494672">
        <w:t xml:space="preserve"> is the agency’s acquisition lead for facilitating</w:t>
      </w:r>
      <w:r w:rsidR="0054585E">
        <w:t xml:space="preserve"> all of</w:t>
      </w:r>
      <w:r w:rsidRPr="00494672">
        <w:t xml:space="preserve"> the</w:t>
      </w:r>
      <w:r w:rsidR="0054585E">
        <w:t xml:space="preserve"> agency’s</w:t>
      </w:r>
      <w:r w:rsidRPr="00494672">
        <w:t xml:space="preserve"> OCOs</w:t>
      </w:r>
      <w:r w:rsidR="00D64E85">
        <w:t>’</w:t>
      </w:r>
      <w:r w:rsidRPr="00494672">
        <w:t xml:space="preserve"> use of the EIS contracts; this is a role new to the transition to EIS after learning during the transition to Networx the importance of the OCOs’ familiarity with ordering telecommunications services. The TOCO is a critical communication link between GSA and the OCOs within the agency to share best practices for using the EIS contracts, identify OCOs to receive training from GSA regarding ordering from EIS, and access GSA’s acquisition experts for EIS</w:t>
      </w:r>
      <w:r w:rsidR="006D5739">
        <w:t xml:space="preserve"> for advice and scope questions</w:t>
      </w:r>
      <w:r w:rsidRPr="00494672">
        <w:t>.</w:t>
      </w:r>
    </w:p>
    <w:p w14:paraId="6FBAE2C9" w14:textId="77777777" w:rsidR="007C4363" w:rsidRDefault="007C4363" w:rsidP="002466A5"/>
    <w:p w14:paraId="6F9B20A5" w14:textId="01AF8706" w:rsidR="00494672" w:rsidRPr="00494672" w:rsidRDefault="00494672" w:rsidP="002466A5">
      <w:r w:rsidRPr="00494672">
        <w:t xml:space="preserve">OCOs are responsible for following the ordering procedures, including the FO selection of contractors in compliance with the FAR, the terms and conditions of the EIS contracts, and any agency policies to place TOs on the EIS contracts. Ordering telecommunications services involves understanding components that are not commonly included in other IT solutions and can require the agency to describe complex network requirements and evaluate disparate proposals or quotations for their solutions. The agency should assign OCOs with experience in telecommunications acquisitions and must ensure the OCOs participate in training that GSA and the EIS contractors offer. </w:t>
      </w:r>
      <w:r w:rsidRPr="00A65126">
        <w:t xml:space="preserve">GSA has a program to assist agencies with ordering, and agencies can get help by contacting their GSA </w:t>
      </w:r>
      <w:r w:rsidR="00B90838">
        <w:t>SB</w:t>
      </w:r>
      <w:r w:rsidRPr="00A65126">
        <w:t>.</w:t>
      </w:r>
    </w:p>
    <w:p w14:paraId="2D403BE0" w14:textId="77777777" w:rsidR="007C4363" w:rsidRDefault="007C4363" w:rsidP="002466A5"/>
    <w:p w14:paraId="1445C370" w14:textId="3A456B99" w:rsidR="00494672" w:rsidRPr="00494672" w:rsidRDefault="00494672" w:rsidP="002466A5">
      <w:r w:rsidRPr="00494672">
        <w:t xml:space="preserve">For agencies to place </w:t>
      </w:r>
      <w:r w:rsidR="00AD3DC9">
        <w:t>TOs</w:t>
      </w:r>
      <w:r w:rsidRPr="00494672">
        <w:t xml:space="preserve"> on the EIS contracts and to ensure ordering complies with procurement statutes and policies, agencies’ OCOs must </w:t>
      </w:r>
      <w:r w:rsidR="0023385E">
        <w:t xml:space="preserve">attend training and receive </w:t>
      </w:r>
      <w:r w:rsidRPr="00494672">
        <w:t xml:space="preserve">a </w:t>
      </w:r>
      <w:r w:rsidR="00072C7E">
        <w:t>D</w:t>
      </w:r>
      <w:r w:rsidRPr="00494672">
        <w:t xml:space="preserve">PA </w:t>
      </w:r>
      <w:r w:rsidR="0023385E">
        <w:t>from GSA</w:t>
      </w:r>
      <w:r w:rsidR="0017790F">
        <w:t xml:space="preserve">. </w:t>
      </w:r>
      <w:r w:rsidR="0017790F" w:rsidRPr="0017790F">
        <w:t>DPA Training (FAC066) can be accessed on the Defense Acquisition University website found at https://www.dau.mil/</w:t>
      </w:r>
      <w:r w:rsidRPr="00494672">
        <w:t xml:space="preserve">. </w:t>
      </w:r>
    </w:p>
    <w:p w14:paraId="536768F7" w14:textId="639A3398" w:rsidR="00494672" w:rsidRDefault="00494672" w:rsidP="00E436C5">
      <w:pPr>
        <w:pStyle w:val="Heading2Hdbk"/>
      </w:pPr>
      <w:bookmarkStart w:id="55" w:name="_Toc12525458"/>
      <w:bookmarkStart w:id="56" w:name="_Toc498950260"/>
      <w:bookmarkStart w:id="57" w:name="_Toc107325290"/>
      <w:r w:rsidRPr="00494672">
        <w:t xml:space="preserve">GSA </w:t>
      </w:r>
      <w:r w:rsidR="00473DF3">
        <w:t>Full Ser</w:t>
      </w:r>
      <w:r w:rsidR="00977133">
        <w:t>vice</w:t>
      </w:r>
      <w:r w:rsidR="00977133" w:rsidRPr="00494672">
        <w:t xml:space="preserve"> </w:t>
      </w:r>
      <w:r w:rsidR="00977133">
        <w:t>(</w:t>
      </w:r>
      <w:r w:rsidR="00977133" w:rsidRPr="00494672">
        <w:t xml:space="preserve">Regional </w:t>
      </w:r>
      <w:r w:rsidR="003B2CF3">
        <w:t xml:space="preserve">Local </w:t>
      </w:r>
      <w:r w:rsidR="00977133" w:rsidRPr="00494672">
        <w:t>Services</w:t>
      </w:r>
      <w:r w:rsidR="00977133">
        <w:t>)</w:t>
      </w:r>
      <w:bookmarkEnd w:id="55"/>
      <w:bookmarkEnd w:id="56"/>
      <w:bookmarkEnd w:id="57"/>
    </w:p>
    <w:p w14:paraId="4AF5DE21" w14:textId="20504A8F" w:rsidR="00B13395" w:rsidRDefault="008636F8" w:rsidP="00B13395">
      <w:r>
        <w:t>All a</w:t>
      </w:r>
      <w:r w:rsidR="00B13395">
        <w:t xml:space="preserve">gencies currently using services provided by the GSA </w:t>
      </w:r>
      <w:r w:rsidR="00754B25">
        <w:t>Regional local service</w:t>
      </w:r>
      <w:r w:rsidR="00B13395">
        <w:t xml:space="preserve"> contracts </w:t>
      </w:r>
      <w:r>
        <w:t>formerly administered in</w:t>
      </w:r>
      <w:r w:rsidR="00B13395">
        <w:t xml:space="preserve"> GSA Regions 1-10 are participating in GSA’s </w:t>
      </w:r>
      <w:r w:rsidR="00473DF3">
        <w:t>Full Ser</w:t>
      </w:r>
      <w:r w:rsidR="00B13395">
        <w:t xml:space="preserve">vice program. </w:t>
      </w:r>
      <w:r w:rsidR="00221023" w:rsidRPr="00287514">
        <w:t xml:space="preserve">As of October 3, 2017, GSA will not be offering full service on EIS.  </w:t>
      </w:r>
      <w:r w:rsidR="00ED6C74" w:rsidRPr="00287514">
        <w:t>Agencies participating in</w:t>
      </w:r>
      <w:r w:rsidR="003B2CF3" w:rsidRPr="00287514">
        <w:t xml:space="preserve"> the Full Service p</w:t>
      </w:r>
      <w:r w:rsidR="00ED6C74" w:rsidRPr="00287514">
        <w:t>rogram need to order their replacement services directly from the EIS contractors.</w:t>
      </w:r>
    </w:p>
    <w:p w14:paraId="4132BE4C" w14:textId="46591CC4" w:rsidR="00494672" w:rsidRDefault="00494672" w:rsidP="00B13395"/>
    <w:p w14:paraId="0C5BD12E" w14:textId="310F0905" w:rsidR="00ED6C74" w:rsidRPr="005B7336" w:rsidRDefault="00473DF3" w:rsidP="00ED6C74">
      <w:r>
        <w:t xml:space="preserve">GSA is committed to supporting agencies throughout </w:t>
      </w:r>
      <w:r w:rsidR="00ED6C74">
        <w:t>this Full Service transition</w:t>
      </w:r>
      <w:r>
        <w:t xml:space="preserve"> </w:t>
      </w:r>
      <w:r w:rsidR="00F970E5" w:rsidRPr="00F970E5">
        <w:t>with the assistance to agencies' procurement teams as they make their FO decisions. Agencies that are taking advantage of GSA assistance can include local service</w:t>
      </w:r>
      <w:r w:rsidR="00A0338C">
        <w:t>s</w:t>
      </w:r>
      <w:r w:rsidR="00F970E5" w:rsidRPr="00F970E5">
        <w:t xml:space="preserve"> i</w:t>
      </w:r>
      <w:r w:rsidR="00F970E5">
        <w:t xml:space="preserve">n the </w:t>
      </w:r>
      <w:r w:rsidR="00AD3DC9">
        <w:t>TO</w:t>
      </w:r>
      <w:r w:rsidR="00F970E5">
        <w:t xml:space="preserve"> requirements. A</w:t>
      </w:r>
      <w:r w:rsidR="00F970E5" w:rsidRPr="00F970E5">
        <w:t xml:space="preserve">gencies may also request GSA's assistance with the </w:t>
      </w:r>
      <w:r w:rsidR="003F24A0">
        <w:t>Solicitation</w:t>
      </w:r>
      <w:r w:rsidR="00F970E5" w:rsidRPr="00F970E5">
        <w:t xml:space="preserve"> Assist Tool and EIS Pricer.</w:t>
      </w:r>
      <w:r w:rsidRPr="00473DF3">
        <w:t xml:space="preserve"> </w:t>
      </w:r>
      <w:r w:rsidR="00351F91">
        <w:t xml:space="preserve">Agencies that need assistance with analyzing their inventory can request that from GSA; this assistance does not, however, include site surveys. </w:t>
      </w:r>
      <w:r w:rsidRPr="00494672">
        <w:t xml:space="preserve">GSA will coordinate with the agencies to ensure all current GSA </w:t>
      </w:r>
      <w:r w:rsidR="00754B25">
        <w:t>Regional local service</w:t>
      </w:r>
      <w:r w:rsidRPr="00494672">
        <w:t>s are transitioned to EIS as well as any new requirements.</w:t>
      </w:r>
      <w:r w:rsidR="00654947">
        <w:t xml:space="preserve"> For more information, </w:t>
      </w:r>
      <w:r w:rsidR="004D0F48">
        <w:t xml:space="preserve">review </w:t>
      </w:r>
      <w:r w:rsidR="00654947">
        <w:t xml:space="preserve">the </w:t>
      </w:r>
      <w:r w:rsidR="00654947" w:rsidRPr="00C95436">
        <w:rPr>
          <w:u w:val="single"/>
        </w:rPr>
        <w:t>Full Service Transition Plan</w:t>
      </w:r>
      <w:r w:rsidR="00654947">
        <w:t xml:space="preserve"> available </w:t>
      </w:r>
      <w:r w:rsidR="00A0338C">
        <w:t>online at</w:t>
      </w:r>
      <w:r w:rsidR="00654947">
        <w:t xml:space="preserve"> </w:t>
      </w:r>
      <w:hyperlink r:id="rId23" w:history="1">
        <w:r w:rsidR="00654947" w:rsidRPr="00A0338C">
          <w:rPr>
            <w:rStyle w:val="Hyperlink"/>
          </w:rPr>
          <w:t>gsa.gov/eistransition</w:t>
        </w:r>
      </w:hyperlink>
      <w:r w:rsidR="00654947">
        <w:t>.</w:t>
      </w:r>
      <w:r w:rsidRPr="00494672">
        <w:t> </w:t>
      </w:r>
    </w:p>
    <w:p w14:paraId="3D1144E1" w14:textId="33852014" w:rsidR="00127D25" w:rsidRDefault="005B7336" w:rsidP="00E436C5">
      <w:pPr>
        <w:pStyle w:val="Heading1"/>
        <w:numPr>
          <w:ilvl w:val="0"/>
          <w:numId w:val="2"/>
        </w:numPr>
      </w:pPr>
      <w:bookmarkStart w:id="58" w:name="_Toc107325291"/>
      <w:bookmarkStart w:id="59" w:name="_Toc12525459"/>
      <w:bookmarkStart w:id="60" w:name="_Toc498950261"/>
      <w:r>
        <w:t xml:space="preserve">Lessons Learned </w:t>
      </w:r>
      <w:r w:rsidR="006A4668">
        <w:t>from Previous Transitions</w:t>
      </w:r>
      <w:bookmarkEnd w:id="58"/>
    </w:p>
    <w:bookmarkEnd w:id="59"/>
    <w:bookmarkEnd w:id="60"/>
    <w:p w14:paraId="7387D66C" w14:textId="2926C269" w:rsidR="005B7336" w:rsidRDefault="005B7336" w:rsidP="0097702B">
      <w:r w:rsidRPr="005B7336">
        <w:t xml:space="preserve">In report GAO-14-63, </w:t>
      </w:r>
      <w:r w:rsidRPr="005B7336">
        <w:rPr>
          <w:i/>
        </w:rPr>
        <w:t>GSA Needs to Share and Prioritize Lessons Learned to Avoid Future Transition Delays</w:t>
      </w:r>
      <w:r w:rsidRPr="005B7336">
        <w:t xml:space="preserve">, December 2013, GAO recommended GSA “fully archive, share, and prioritize lessons learned” from the previous transition to Networx. GSA </w:t>
      </w:r>
      <w:r w:rsidR="007B2419">
        <w:t>collected</w:t>
      </w:r>
      <w:r w:rsidRPr="005B7336">
        <w:t xml:space="preserve"> lessons learned from previous transitions, predominately from FTS2001 to Networx, and </w:t>
      </w:r>
      <w:r w:rsidR="007B2419">
        <w:t xml:space="preserve">this </w:t>
      </w:r>
      <w:r w:rsidR="007B2419" w:rsidRPr="00C95436">
        <w:rPr>
          <w:u w:val="single"/>
        </w:rPr>
        <w:t>Transition Handbook</w:t>
      </w:r>
      <w:r w:rsidR="007B2419">
        <w:t xml:space="preserve"> addresses many of them</w:t>
      </w:r>
      <w:r w:rsidR="001E166A">
        <w:t>, especially those that pertain to agencies’ activities</w:t>
      </w:r>
      <w:r w:rsidR="007B2419">
        <w:t xml:space="preserve">. The complete list of those lessons learned is </w:t>
      </w:r>
      <w:r w:rsidR="009F308B">
        <w:t xml:space="preserve">provided </w:t>
      </w:r>
      <w:r w:rsidR="007B2419">
        <w:t>in Appendix C.</w:t>
      </w:r>
      <w:r w:rsidR="001B65B8">
        <w:t xml:space="preserve">  </w:t>
      </w:r>
      <w:r w:rsidR="00D64D90">
        <w:t xml:space="preserve">Furthermore, GSA </w:t>
      </w:r>
      <w:r w:rsidR="003D3AD8">
        <w:t>conducted a comprehensive analysis of the lessons learned. GSA prioritized the lessons and incorporated the significant items into the strategy for NS2020 and transition to EIS</w:t>
      </w:r>
      <w:r w:rsidR="00D64D90">
        <w:t>; Section 3 of this document reflects those that pertain to transition</w:t>
      </w:r>
      <w:r w:rsidR="003D3AD8">
        <w:t>.</w:t>
      </w:r>
      <w:r w:rsidR="007B2419">
        <w:t xml:space="preserve"> </w:t>
      </w:r>
    </w:p>
    <w:p w14:paraId="3D39EA5D" w14:textId="77777777" w:rsidR="005B7336" w:rsidRPr="00970CFF" w:rsidRDefault="005B7336" w:rsidP="00E436C5">
      <w:pPr>
        <w:pStyle w:val="Heading1"/>
        <w:numPr>
          <w:ilvl w:val="0"/>
          <w:numId w:val="2"/>
        </w:numPr>
      </w:pPr>
      <w:bookmarkStart w:id="61" w:name="_Transition_Planning"/>
      <w:bookmarkStart w:id="62" w:name="_Toc12525460"/>
      <w:bookmarkStart w:id="63" w:name="_Toc498950262"/>
      <w:bookmarkStart w:id="64" w:name="_Toc107325292"/>
      <w:bookmarkEnd w:id="61"/>
      <w:r>
        <w:t>Transition Planning</w:t>
      </w:r>
      <w:bookmarkEnd w:id="62"/>
      <w:bookmarkEnd w:id="63"/>
      <w:bookmarkEnd w:id="64"/>
    </w:p>
    <w:p w14:paraId="71E0D8CF" w14:textId="5E7C3C8B" w:rsidR="005B7336" w:rsidRDefault="006B31DB" w:rsidP="002466A5">
      <w:r>
        <w:t>As stated in S</w:t>
      </w:r>
      <w:r w:rsidR="005B7336" w:rsidRPr="005B7336">
        <w:t xml:space="preserve">ection </w:t>
      </w:r>
      <w:r>
        <w:fldChar w:fldCharType="begin"/>
      </w:r>
      <w:r>
        <w:instrText xml:space="preserve"> REF _Ref451426955 \w \h </w:instrText>
      </w:r>
      <w:r>
        <w:fldChar w:fldCharType="separate"/>
      </w:r>
      <w:r w:rsidR="007A4B19">
        <w:t>4.1</w:t>
      </w:r>
      <w:r>
        <w:fldChar w:fldCharType="end"/>
      </w:r>
      <w:r w:rsidR="005B7336">
        <w:t xml:space="preserve"> </w:t>
      </w:r>
      <w:r w:rsidR="005B7336" w:rsidRPr="005B7336">
        <w:t>of this document, each agency must prepare an ATP. The ATP is an important tool for communicating the agency’s requirements, expectations, and approach to other transition stakeholders, including GSA, OMB, and contractors. The ATP must address at least the topics defined in Appendix B</w:t>
      </w:r>
      <w:r w:rsidR="002D0547">
        <w:t xml:space="preserve"> – Agency </w:t>
      </w:r>
      <w:r w:rsidR="005B7336" w:rsidRPr="005B7336">
        <w:t>Transition Plan Outline. The Agency Transition Sponsor is to approve and deliver this plan to</w:t>
      </w:r>
      <w:r w:rsidR="00496F00" w:rsidRPr="00496F00">
        <w:t xml:space="preserve"> the TCC at </w:t>
      </w:r>
      <w:hyperlink r:id="rId24" w:history="1">
        <w:r w:rsidR="00EA76A4">
          <w:rPr>
            <w:rStyle w:val="Hyperlink"/>
          </w:rPr>
          <w:t>eistcc.ta@gsa.gov</w:t>
        </w:r>
      </w:hyperlink>
      <w:r w:rsidR="00496F00">
        <w:t xml:space="preserve"> </w:t>
      </w:r>
      <w:r w:rsidR="00496F00" w:rsidRPr="005B7336">
        <w:t>within one year after release of the EIS RFP, that is</w:t>
      </w:r>
      <w:r w:rsidR="00496F00" w:rsidRPr="0050626D">
        <w:t>, by October 2016. The</w:t>
      </w:r>
      <w:r w:rsidR="00496F00" w:rsidRPr="00496F00">
        <w:t xml:space="preserve"> TCC will provide it to the GSA’s Assistant Commissioner of FAS/</w:t>
      </w:r>
      <w:r w:rsidR="00F311F8">
        <w:t>ITC</w:t>
      </w:r>
      <w:r w:rsidR="00C9770F">
        <w:t xml:space="preserve"> and OMB</w:t>
      </w:r>
      <w:r w:rsidR="00496F00" w:rsidRPr="00496F00">
        <w:t xml:space="preserve">. </w:t>
      </w:r>
      <w:r w:rsidR="007E0D7B" w:rsidRPr="002E5B0E">
        <w:t>GSA will review the ATP and provide feedback to the agency.</w:t>
      </w:r>
      <w:r w:rsidR="007E0D7B">
        <w:t xml:space="preserve"> The ATP</w:t>
      </w:r>
      <w:r w:rsidR="0098097A">
        <w:t xml:space="preserve"> will guide the agency’s transition and, therefore,</w:t>
      </w:r>
      <w:r w:rsidR="00DA53B3">
        <w:t xml:space="preserve"> the LTM</w:t>
      </w:r>
      <w:r w:rsidR="0098097A">
        <w:t xml:space="preserve"> should update</w:t>
      </w:r>
      <w:r w:rsidR="00DA53B3">
        <w:t xml:space="preserve"> it</w:t>
      </w:r>
      <w:r w:rsidR="0098097A">
        <w:t xml:space="preserve"> as needed to remain current and relevant.</w:t>
      </w:r>
    </w:p>
    <w:p w14:paraId="59EA7409" w14:textId="77777777" w:rsidR="00B85D86" w:rsidRDefault="00B85D86" w:rsidP="00B85D86">
      <w:pPr>
        <w:jc w:val="center"/>
      </w:pPr>
    </w:p>
    <w:p w14:paraId="12725A69" w14:textId="77777777" w:rsidR="005B7336" w:rsidRPr="005B7336" w:rsidRDefault="005B7336" w:rsidP="002466A5">
      <w:r w:rsidRPr="005B7336">
        <w:t>Transition planning at the agency level involves identifying key personnel</w:t>
      </w:r>
      <w:r w:rsidR="00F4235F">
        <w:t xml:space="preserve"> and forming an Integrated Transition Team</w:t>
      </w:r>
      <w:r w:rsidRPr="005B7336">
        <w:t>, confirming inventory, defining requirements and determining the order placement process, and arranging for GSA assistance as needed. The following sections outline these planning activities.</w:t>
      </w:r>
    </w:p>
    <w:p w14:paraId="48031927" w14:textId="77777777" w:rsidR="005B7336" w:rsidRDefault="005B7336" w:rsidP="00E436C5">
      <w:pPr>
        <w:pStyle w:val="Heading2Hdbk"/>
      </w:pPr>
      <w:bookmarkStart w:id="65" w:name="_Toc12525461"/>
      <w:bookmarkStart w:id="66" w:name="_Toc498950263"/>
      <w:bookmarkStart w:id="67" w:name="_Toc107325293"/>
      <w:r w:rsidRPr="005B7336">
        <w:t>Identify Key Agency Personnel</w:t>
      </w:r>
      <w:bookmarkEnd w:id="65"/>
      <w:bookmarkEnd w:id="66"/>
      <w:bookmarkEnd w:id="67"/>
    </w:p>
    <w:p w14:paraId="39E8D10C" w14:textId="77777777" w:rsidR="005B7336" w:rsidRPr="005B7336" w:rsidRDefault="005B7336" w:rsidP="002466A5">
      <w:r w:rsidRPr="005B7336">
        <w:t xml:space="preserve">The following are key personnel for an agency’s </w:t>
      </w:r>
      <w:r w:rsidR="00F4235F">
        <w:t>Integrated T</w:t>
      </w:r>
      <w:r w:rsidRPr="005B7336">
        <w:t>ransition</w:t>
      </w:r>
      <w:r w:rsidR="00F4235F">
        <w:t xml:space="preserve"> Team</w:t>
      </w:r>
      <w:r w:rsidRPr="005B7336">
        <w:t>:</w:t>
      </w:r>
    </w:p>
    <w:p w14:paraId="33A89812" w14:textId="77777777" w:rsidR="005B7336" w:rsidRPr="005B7336" w:rsidRDefault="005B7336" w:rsidP="00E436C5">
      <w:pPr>
        <w:pStyle w:val="ListParagraph"/>
        <w:numPr>
          <w:ilvl w:val="0"/>
          <w:numId w:val="30"/>
        </w:numPr>
        <w:spacing w:before="120"/>
      </w:pPr>
      <w:r w:rsidRPr="005B7336">
        <w:t>Agency Transition Sponsor</w:t>
      </w:r>
    </w:p>
    <w:p w14:paraId="65DEB4CB" w14:textId="77777777" w:rsidR="005B7336" w:rsidRPr="005B7336" w:rsidRDefault="005B7336" w:rsidP="004F6583">
      <w:pPr>
        <w:pStyle w:val="ListParagraph"/>
        <w:numPr>
          <w:ilvl w:val="0"/>
          <w:numId w:val="30"/>
        </w:numPr>
      </w:pPr>
      <w:r w:rsidRPr="005B7336">
        <w:t>LTM and supporting TMs</w:t>
      </w:r>
    </w:p>
    <w:p w14:paraId="2BCAA9D0" w14:textId="5F2B7AC8" w:rsidR="005B7336" w:rsidRPr="005B7336" w:rsidRDefault="005B7336" w:rsidP="004F6583">
      <w:pPr>
        <w:pStyle w:val="ListParagraph"/>
        <w:numPr>
          <w:ilvl w:val="0"/>
          <w:numId w:val="30"/>
        </w:numPr>
      </w:pPr>
      <w:r w:rsidRPr="005B7336">
        <w:lastRenderedPageBreak/>
        <w:t>TOCO and other OCOs for the agency (or personnel with authority to obligate the agency’s funds)</w:t>
      </w:r>
      <w:r w:rsidR="0001626F">
        <w:t>.</w:t>
      </w:r>
    </w:p>
    <w:p w14:paraId="16E4AF52" w14:textId="77777777" w:rsidR="005B7336" w:rsidRPr="005B7336" w:rsidRDefault="005B7336" w:rsidP="00E436C5">
      <w:pPr>
        <w:spacing w:before="120"/>
      </w:pPr>
      <w:r w:rsidRPr="005B7336">
        <w:t xml:space="preserve">Depending on an agency’s transition requirements, there may be a need to identify additional staff for implementation of transition activities. These resources may come from within an agency or be support contractors and can include financial analysts and billing personnel, local site contacts, information assurance or IT security experts, or network engineers. </w:t>
      </w:r>
    </w:p>
    <w:p w14:paraId="5E26AC23" w14:textId="77777777" w:rsidR="005B7336" w:rsidRDefault="005B7336" w:rsidP="00E436C5">
      <w:pPr>
        <w:pStyle w:val="Heading2Hdbk"/>
      </w:pPr>
      <w:bookmarkStart w:id="68" w:name="_Toc12525462"/>
      <w:bookmarkStart w:id="69" w:name="_Toc498950264"/>
      <w:bookmarkStart w:id="70" w:name="_Toc107325294"/>
      <w:r w:rsidRPr="005B7336">
        <w:t>Confirm Inventory</w:t>
      </w:r>
      <w:bookmarkEnd w:id="68"/>
      <w:bookmarkEnd w:id="69"/>
      <w:bookmarkEnd w:id="70"/>
    </w:p>
    <w:p w14:paraId="0CA6A245" w14:textId="7CADBD59" w:rsidR="005B7336" w:rsidRPr="005B7336" w:rsidRDefault="005B7336" w:rsidP="002466A5">
      <w:r w:rsidRPr="005B7336">
        <w:t>GSA’s role in inventory establishment is to develop, validate</w:t>
      </w:r>
      <w:r w:rsidR="00450BD6">
        <w:t>,</w:t>
      </w:r>
      <w:r w:rsidRPr="005B7336">
        <w:t xml:space="preserve"> and maintain an accurate Transition Inventory (TI).  Building on lessons learned from previous transitions, GSA has conducted the validation of the TI to relieve the agencies of the burden of this labor-intensive and time-consuming task.  Validation consisted of a comprehensive comparison of billing and inventory data GSA has collected over the course of the Networx, WITS 3, and </w:t>
      </w:r>
      <w:r w:rsidR="008C4A5F">
        <w:t xml:space="preserve">GSA </w:t>
      </w:r>
      <w:r w:rsidR="00754B25">
        <w:t>Regional local service</w:t>
      </w:r>
      <w:r w:rsidRPr="005B7336">
        <w:t xml:space="preserve"> contracts with that of the contractors on those vehicles. GSA completed TI validation in January 2016 and subsequently provided the TI to the agencies to confirm</w:t>
      </w:r>
      <w:r w:rsidR="00510C8A">
        <w:t xml:space="preserve"> </w:t>
      </w:r>
      <w:r w:rsidRPr="005B7336">
        <w:t>it is sufficiently complete and accurate for transition planning and tracking.</w:t>
      </w:r>
      <w:r w:rsidR="00977133" w:rsidRPr="00977133">
        <w:t xml:space="preserve"> The </w:t>
      </w:r>
      <w:r w:rsidR="00977133">
        <w:t>TI</w:t>
      </w:r>
      <w:r w:rsidR="00977133" w:rsidRPr="00977133">
        <w:t xml:space="preserve"> is accessible to authorized agency users </w:t>
      </w:r>
      <w:r w:rsidR="00977133">
        <w:t>through</w:t>
      </w:r>
      <w:r w:rsidR="00977133" w:rsidRPr="00977133">
        <w:t xml:space="preserve"> the GSA </w:t>
      </w:r>
      <w:r w:rsidR="006B5DFA" w:rsidRPr="00977133">
        <w:t xml:space="preserve">Enhanced Monthly On-Line Records and Reports of </w:t>
      </w:r>
      <w:r w:rsidR="006B5DFA">
        <w:t>IT</w:t>
      </w:r>
      <w:r w:rsidR="006B5DFA" w:rsidRPr="00977133">
        <w:t xml:space="preserve"> Services</w:t>
      </w:r>
      <w:r w:rsidR="00B663D4">
        <w:t xml:space="preserve"> (</w:t>
      </w:r>
      <w:r w:rsidR="00977133" w:rsidRPr="00977133">
        <w:t>E</w:t>
      </w:r>
      <w:r w:rsidR="00450BD6">
        <w:t>-</w:t>
      </w:r>
      <w:r w:rsidR="00977133" w:rsidRPr="00977133">
        <w:t>MORRIS</w:t>
      </w:r>
      <w:r w:rsidR="00B663D4">
        <w:t>)</w:t>
      </w:r>
      <w:r w:rsidR="00977133" w:rsidRPr="00977133">
        <w:t xml:space="preserve"> application. GSA continues to validate and update the </w:t>
      </w:r>
      <w:r w:rsidR="009F308B">
        <w:t>TI</w:t>
      </w:r>
      <w:r w:rsidR="00977133" w:rsidRPr="00977133">
        <w:t xml:space="preserve"> on a monthly basis as new records are identified, services disconnected, and discrepancies are reconciled.</w:t>
      </w:r>
    </w:p>
    <w:p w14:paraId="6FABE597" w14:textId="77777777" w:rsidR="006E36DC" w:rsidRDefault="006E36DC" w:rsidP="002466A5"/>
    <w:p w14:paraId="3093B85C" w14:textId="7E90D51F" w:rsidR="005B7336" w:rsidRPr="005B7336" w:rsidRDefault="005B7336" w:rsidP="002466A5">
      <w:r w:rsidRPr="005B7336">
        <w:t>Confirmation of accurate Networx,</w:t>
      </w:r>
      <w:r w:rsidRPr="005B7336">
        <w:rPr>
          <w:color w:val="FF0000"/>
        </w:rPr>
        <w:t xml:space="preserve"> </w:t>
      </w:r>
      <w:r w:rsidRPr="005B7336">
        <w:t xml:space="preserve">WITS 3, and </w:t>
      </w:r>
      <w:r w:rsidR="008C4A5F">
        <w:t xml:space="preserve">GSA </w:t>
      </w:r>
      <w:r w:rsidR="00754B25">
        <w:t>Regional local service</w:t>
      </w:r>
      <w:r w:rsidRPr="005B7336">
        <w:t xml:space="preserve"> inventories ensures agencies and stakeholders have a comprehensive understanding of the services that must be disconnected and provides information for planning for the initial growth of services on EIS. TI confirmation is a critical requirement for a successful transition as identified in the Networx Lessons Learned. An accurate and complete inventory:  </w:t>
      </w:r>
    </w:p>
    <w:p w14:paraId="2E14677B" w14:textId="73A5CDA4" w:rsidR="005B7336" w:rsidRPr="005B7336" w:rsidRDefault="005B7336" w:rsidP="00E436C5">
      <w:pPr>
        <w:pStyle w:val="ListParagraph"/>
        <w:numPr>
          <w:ilvl w:val="0"/>
          <w:numId w:val="31"/>
        </w:numPr>
        <w:spacing w:before="120"/>
      </w:pPr>
      <w:r w:rsidRPr="005B7336">
        <w:t xml:space="preserve">Assists agencies with transition planning by identifying the services to be transitioned and subsequently disconnected from Networx, WITS 3, and </w:t>
      </w:r>
      <w:r w:rsidR="008C4A5F">
        <w:t xml:space="preserve">GSA </w:t>
      </w:r>
      <w:r w:rsidR="00754B25">
        <w:t>Regional local service</w:t>
      </w:r>
      <w:r w:rsidRPr="005B7336">
        <w:t xml:space="preserve"> contracts</w:t>
      </w:r>
    </w:p>
    <w:p w14:paraId="5FD2AD27" w14:textId="0240B382" w:rsidR="005B7336" w:rsidRPr="005B7336" w:rsidRDefault="005B7336" w:rsidP="004F6583">
      <w:pPr>
        <w:pStyle w:val="ListParagraph"/>
        <w:numPr>
          <w:ilvl w:val="0"/>
          <w:numId w:val="31"/>
        </w:numPr>
      </w:pPr>
      <w:r w:rsidRPr="005B7336">
        <w:t>Serves as the database of record for measuring transition progress in a consistent manner across all agencies, contractors, and services</w:t>
      </w:r>
    </w:p>
    <w:p w14:paraId="627E4168" w14:textId="23D06017" w:rsidR="009F308B" w:rsidRPr="005B7336" w:rsidRDefault="005B7336" w:rsidP="004F6583">
      <w:pPr>
        <w:pStyle w:val="ListParagraph"/>
        <w:numPr>
          <w:ilvl w:val="0"/>
          <w:numId w:val="31"/>
        </w:numPr>
      </w:pPr>
      <w:r w:rsidRPr="005B7336">
        <w:t>Serves as an input to the GSA provided on-line site for transition tracking</w:t>
      </w:r>
    </w:p>
    <w:p w14:paraId="78A6CBFB" w14:textId="7654EB84" w:rsidR="003B349D" w:rsidRDefault="00DA5FD1" w:rsidP="00802360">
      <w:pPr>
        <w:pStyle w:val="ListParagraph"/>
        <w:numPr>
          <w:ilvl w:val="0"/>
          <w:numId w:val="31"/>
        </w:numPr>
      </w:pPr>
      <w:r>
        <w:t>Must be c</w:t>
      </w:r>
      <w:r w:rsidR="005B7336" w:rsidRPr="005B7336">
        <w:t>onfirm</w:t>
      </w:r>
      <w:r>
        <w:t>ed</w:t>
      </w:r>
      <w:r w:rsidR="005B7336" w:rsidRPr="005B7336">
        <w:t xml:space="preserve"> by October 2016; agencies signal completion of the confirmation by asserting such in the ATP.  </w:t>
      </w:r>
    </w:p>
    <w:p w14:paraId="31EC46BC" w14:textId="3EA942E8" w:rsidR="003B349D" w:rsidRPr="005B7336" w:rsidRDefault="003B349D" w:rsidP="00E436C5">
      <w:pPr>
        <w:spacing w:before="120"/>
      </w:pPr>
      <w:r w:rsidRPr="003B349D">
        <w:t xml:space="preserve">To further support </w:t>
      </w:r>
      <w:r>
        <w:t>a</w:t>
      </w:r>
      <w:r w:rsidRPr="003B349D">
        <w:t xml:space="preserve">gencies as they develop their </w:t>
      </w:r>
      <w:r w:rsidR="00FE5801">
        <w:t>solicitations,</w:t>
      </w:r>
      <w:r w:rsidRPr="003B349D">
        <w:t xml:space="preserve"> and to provide data for transition service orders, </w:t>
      </w:r>
      <w:r>
        <w:t>the TCC</w:t>
      </w:r>
      <w:r w:rsidRPr="003B349D">
        <w:t xml:space="preserve"> has created a more detailed inventory called the All Agency Inventory (AAI). AAI extends current TI data to a more detailed level, to include individual </w:t>
      </w:r>
      <w:r>
        <w:t>Contract Line Item</w:t>
      </w:r>
      <w:r w:rsidR="00B10317">
        <w:t xml:space="preserve"> Number</w:t>
      </w:r>
      <w:r>
        <w:t>s (</w:t>
      </w:r>
      <w:r w:rsidRPr="003B349D">
        <w:t>CLINs</w:t>
      </w:r>
      <w:r>
        <w:t>)</w:t>
      </w:r>
      <w:r w:rsidRPr="003B349D">
        <w:t xml:space="preserve">, features, equipment, bandwidth, and other data not currently included in TI. The data is primarily based on contractor inventory, billing, and orders for Networx, WITS 3, and </w:t>
      </w:r>
      <w:r w:rsidR="00754B25">
        <w:t>Regional local service</w:t>
      </w:r>
      <w:r w:rsidR="00977133">
        <w:t xml:space="preserve"> </w:t>
      </w:r>
      <w:r w:rsidRPr="003B349D">
        <w:t xml:space="preserve">contracts. Output of this data is available upon a request to the TCC </w:t>
      </w:r>
      <w:r>
        <w:t>through</w:t>
      </w:r>
      <w:r w:rsidRPr="003B349D">
        <w:t xml:space="preserve"> the </w:t>
      </w:r>
      <w:r w:rsidR="00A47FCA">
        <w:t>SB</w:t>
      </w:r>
      <w:r w:rsidRPr="003B349D">
        <w:t>. The TCC offers agency</w:t>
      </w:r>
      <w:r w:rsidR="0007541C">
        <w:t>-</w:t>
      </w:r>
      <w:r w:rsidRPr="003B349D">
        <w:lastRenderedPageBreak/>
        <w:t xml:space="preserve">level detail records and </w:t>
      </w:r>
      <w:r w:rsidR="00287514">
        <w:t xml:space="preserve">several </w:t>
      </w:r>
      <w:r w:rsidR="00287514" w:rsidRPr="003B349D">
        <w:t>different</w:t>
      </w:r>
      <w:r w:rsidRPr="003B349D">
        <w:t xml:space="preserve"> reports summarizing the data in a myriad of ways for agency use and dissemination. </w:t>
      </w:r>
      <w:r w:rsidRPr="00FC412E">
        <w:t xml:space="preserve">The normalization and consistency of data used for ordering should result in faster ordering from the </w:t>
      </w:r>
      <w:r w:rsidR="00D900CE" w:rsidRPr="00FC412E">
        <w:t>FO</w:t>
      </w:r>
      <w:r w:rsidRPr="00FC412E">
        <w:t xml:space="preserve"> process to provisioning</w:t>
      </w:r>
      <w:r w:rsidR="00FC412E" w:rsidRPr="00FC412E">
        <w:t>,</w:t>
      </w:r>
      <w:r w:rsidRPr="00FC412E">
        <w:t xml:space="preserve"> and implementation to billing verification.</w:t>
      </w:r>
    </w:p>
    <w:p w14:paraId="50625929" w14:textId="77777777" w:rsidR="005B7336" w:rsidRDefault="005B7336" w:rsidP="00E436C5">
      <w:pPr>
        <w:pStyle w:val="Heading2Hdbk"/>
      </w:pPr>
      <w:bookmarkStart w:id="71" w:name="_Toc12525463"/>
      <w:bookmarkStart w:id="72" w:name="_Toc498950265"/>
      <w:bookmarkStart w:id="73" w:name="_Toc107325295"/>
      <w:r w:rsidRPr="005B7336">
        <w:t>Define Requirements and Order Placement Process</w:t>
      </w:r>
      <w:bookmarkEnd w:id="71"/>
      <w:bookmarkEnd w:id="72"/>
      <w:bookmarkEnd w:id="73"/>
    </w:p>
    <w:p w14:paraId="680362F1" w14:textId="1A9F5E92" w:rsidR="005B7336" w:rsidRPr="005B7336" w:rsidRDefault="005B7336" w:rsidP="002466A5">
      <w:r w:rsidRPr="005B7336">
        <w:rPr>
          <w:noProof/>
        </w:rPr>
        <mc:AlternateContent>
          <mc:Choice Requires="wps">
            <w:drawing>
              <wp:anchor distT="0" distB="0" distL="114300" distR="114300" simplePos="0" relativeHeight="251663360" behindDoc="0" locked="1" layoutInCell="1" allowOverlap="1" wp14:anchorId="6D96BD89" wp14:editId="61AEDBA5">
                <wp:simplePos x="0" y="0"/>
                <wp:positionH relativeFrom="margin">
                  <wp:posOffset>4419600</wp:posOffset>
                </wp:positionH>
                <wp:positionV relativeFrom="paragraph">
                  <wp:posOffset>15240</wp:posOffset>
                </wp:positionV>
                <wp:extent cx="1514475" cy="1175385"/>
                <wp:effectExtent l="0" t="0" r="9525" b="5715"/>
                <wp:wrapSquare wrapText="bothSides"/>
                <wp:docPr id="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175385"/>
                        </a:xfrm>
                        <a:prstGeom prst="rect">
                          <a:avLst/>
                        </a:prstGeom>
                        <a:solidFill>
                          <a:srgbClr val="DEDE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9B99A5" w14:textId="77777777" w:rsidR="00E436C5" w:rsidRPr="00296FF0" w:rsidRDefault="00E436C5" w:rsidP="00DC7B40">
                            <w:pPr>
                              <w:jc w:val="left"/>
                              <w:rPr>
                                <w:b/>
                                <w:i/>
                              </w:rPr>
                            </w:pPr>
                            <w:r w:rsidRPr="00296FF0">
                              <w:rPr>
                                <w:b/>
                                <w:i/>
                              </w:rPr>
                              <w:t>Define Requirements</w:t>
                            </w:r>
                          </w:p>
                          <w:p w14:paraId="77621585" w14:textId="5BE55B67" w:rsidR="00E436C5" w:rsidRPr="00776AC2" w:rsidRDefault="00E436C5" w:rsidP="00DC7B40">
                            <w:pPr>
                              <w:jc w:val="left"/>
                            </w:pPr>
                            <w:r w:rsidRPr="00296FF0">
                              <w:t xml:space="preserve">Contact your </w:t>
                            </w:r>
                            <w:r w:rsidR="00ED28FE">
                              <w:t>SB</w:t>
                            </w:r>
                            <w:r w:rsidR="00ED28FE" w:rsidRPr="00776AC2">
                              <w:t xml:space="preserve"> </w:t>
                            </w:r>
                            <w:r w:rsidRPr="00776AC2">
                              <w:t>for assistance with writing a</w:t>
                            </w:r>
                            <w:r>
                              <w:t xml:space="preserve"> solicitation</w:t>
                            </w:r>
                            <w:r w:rsidRPr="00776AC2">
                              <w:t xml:space="preserve">. </w:t>
                            </w:r>
                          </w:p>
                          <w:p w14:paraId="08E09392" w14:textId="77777777" w:rsidR="00E436C5" w:rsidRPr="008A6A03" w:rsidRDefault="00E436C5" w:rsidP="002466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6BD89" id="_x0000_t202" coordsize="21600,21600" o:spt="202" path="m,l,21600r21600,l21600,xe">
                <v:stroke joinstyle="miter"/>
                <v:path gradientshapeok="t" o:connecttype="rect"/>
              </v:shapetype>
              <v:shape id="Text Box 29" o:spid="_x0000_s1026" type="#_x0000_t202" style="position:absolute;left:0;text-align:left;margin-left:348pt;margin-top:1.2pt;width:119.25pt;height:92.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" fillcolor="#dedede" stroked="f">
                <v:textbox>
                  <w:txbxContent>
                    <w:p w14:paraId="079B99A5" w14:textId="77777777" w:rsidR="00E436C5" w:rsidRPr="00296FF0" w:rsidRDefault="00E436C5" w:rsidP="00DC7B40">
                      <w:pPr>
                        <w:jc w:val="left"/>
                        <w:rPr>
                          <w:b/>
                          <w:i/>
                        </w:rPr>
                      </w:pPr>
                      <w:r w:rsidRPr="00296FF0">
                        <w:rPr>
                          <w:b/>
                          <w:i/>
                        </w:rPr>
                        <w:t>Define Requirements</w:t>
                      </w:r>
                    </w:p>
                    <w:p w14:paraId="77621585" w14:textId="5BE55B67" w:rsidR="00E436C5" w:rsidRPr="00776AC2" w:rsidRDefault="00E436C5" w:rsidP="00DC7B40">
                      <w:pPr>
                        <w:jc w:val="left"/>
                      </w:pPr>
                      <w:r w:rsidRPr="00296FF0">
                        <w:t xml:space="preserve">Contact your </w:t>
                      </w:r>
                      <w:r w:rsidR="00ED28FE">
                        <w:t>SB</w:t>
                      </w:r>
                      <w:r w:rsidR="00ED28FE" w:rsidRPr="00776AC2">
                        <w:t xml:space="preserve"> </w:t>
                      </w:r>
                      <w:r w:rsidRPr="00776AC2">
                        <w:t>for assistance with writing a</w:t>
                      </w:r>
                      <w:r>
                        <w:t xml:space="preserve"> solicitation</w:t>
                      </w:r>
                      <w:r w:rsidRPr="00776AC2">
                        <w:t xml:space="preserve">. </w:t>
                      </w:r>
                    </w:p>
                    <w:p w14:paraId="08E09392" w14:textId="77777777" w:rsidR="00E436C5" w:rsidRPr="008A6A03" w:rsidRDefault="00E436C5" w:rsidP="002466A5"/>
                  </w:txbxContent>
                </v:textbox>
                <w10:wrap type="square" anchorx="margin"/>
                <w10:anchorlock/>
              </v:shape>
            </w:pict>
          </mc:Fallback>
        </mc:AlternateContent>
      </w:r>
      <w:r w:rsidRPr="005B7336">
        <w:t>EIS service requirements are driven by agency-specific mission need</w:t>
      </w:r>
      <w:r w:rsidR="00DA53B3">
        <w:t>s</w:t>
      </w:r>
      <w:r w:rsidRPr="005B7336">
        <w:t xml:space="preserve"> and operational models. Requirements for EIS ordering should be determined by conducting a complete analysis of an agency’s current inventory of telecommunications services and its future operational needs. </w:t>
      </w:r>
      <w:r w:rsidR="00010D82">
        <w:t>The agency should carefully consider how to approach enterprise transformations or n</w:t>
      </w:r>
      <w:r w:rsidR="002449D4" w:rsidRPr="002449D4">
        <w:t>etwork optimization</w:t>
      </w:r>
      <w:r w:rsidR="00010D82">
        <w:t>s; it may be more effective to address these complex projects</w:t>
      </w:r>
      <w:r w:rsidR="002449D4" w:rsidRPr="002449D4">
        <w:t xml:space="preserve"> as part of normal network management and not </w:t>
      </w:r>
      <w:r w:rsidR="00010D82">
        <w:t>assume they have to be done</w:t>
      </w:r>
      <w:r w:rsidR="002449D4" w:rsidRPr="002449D4">
        <w:t xml:space="preserve"> during transition.</w:t>
      </w:r>
      <w:r w:rsidR="00010D82">
        <w:t xml:space="preserve"> Conversely, if the agency’s requirements are well developed and funded, transition may be the best time to complete these projects. </w:t>
      </w:r>
      <w:r w:rsidR="009B6AFF">
        <w:t>With those requirements in mind, the agency should become familiar with the appropriate requirements in the</w:t>
      </w:r>
      <w:r w:rsidR="009B6AFF" w:rsidRPr="009B6AFF">
        <w:t xml:space="preserve"> EIS</w:t>
      </w:r>
      <w:r w:rsidR="009B6AFF">
        <w:t xml:space="preserve"> </w:t>
      </w:r>
      <w:r w:rsidR="00875D92">
        <w:t>contracts</w:t>
      </w:r>
      <w:r w:rsidR="009B6AFF">
        <w:t>, paying particular attention to performance specifications for services in Section C, management and operations requirements in Section G, service level agreements, and deliverables.</w:t>
      </w:r>
      <w:r w:rsidR="009B6AFF" w:rsidRPr="009B6AFF">
        <w:t xml:space="preserve">  </w:t>
      </w:r>
      <w:r w:rsidRPr="005B7336">
        <w:t xml:space="preserve">This analysis will determine how the EIS service offerings can best meet an agency’s needs. Requirements can then be grouped into one or more </w:t>
      </w:r>
      <w:r w:rsidR="00D049E9">
        <w:t>F</w:t>
      </w:r>
      <w:r w:rsidRPr="005B7336">
        <w:t>O</w:t>
      </w:r>
      <w:r w:rsidR="00F4235F">
        <w:t xml:space="preserve"> solicitation</w:t>
      </w:r>
      <w:r w:rsidRPr="005B7336">
        <w:t xml:space="preserve">s, and a contractor can be selected through the process in compliance with FAR 16.505 to meet the agency’s requirements. </w:t>
      </w:r>
    </w:p>
    <w:p w14:paraId="64F7AAB7" w14:textId="77777777" w:rsidR="006E36DC" w:rsidRDefault="006E36DC" w:rsidP="002466A5"/>
    <w:p w14:paraId="0C5D0F4B" w14:textId="77777777" w:rsidR="005B7336" w:rsidRPr="005B7336" w:rsidRDefault="005B7336" w:rsidP="002466A5">
      <w:r w:rsidRPr="005B7336">
        <w:t>The steps for defining requirements and determining the order placement process include:</w:t>
      </w:r>
    </w:p>
    <w:p w14:paraId="6920576E" w14:textId="77777777" w:rsidR="005B7336" w:rsidRPr="005B7336" w:rsidRDefault="005B7336" w:rsidP="00E436C5">
      <w:pPr>
        <w:pStyle w:val="ListParagraph"/>
        <w:numPr>
          <w:ilvl w:val="0"/>
          <w:numId w:val="32"/>
        </w:numPr>
        <w:spacing w:before="120"/>
      </w:pPr>
      <w:r w:rsidRPr="005B7336">
        <w:t xml:space="preserve">Determine and document requirements </w:t>
      </w:r>
    </w:p>
    <w:p w14:paraId="18C71717" w14:textId="77777777" w:rsidR="005B7336" w:rsidRPr="005B7336" w:rsidRDefault="005B7336" w:rsidP="000567A5">
      <w:pPr>
        <w:pStyle w:val="ListParagraph"/>
        <w:numPr>
          <w:ilvl w:val="0"/>
          <w:numId w:val="32"/>
        </w:numPr>
      </w:pPr>
      <w:r w:rsidRPr="005B7336">
        <w:t>Conduct market research</w:t>
      </w:r>
    </w:p>
    <w:p w14:paraId="37C24B47" w14:textId="609E9705" w:rsidR="00D049E9" w:rsidRDefault="005B7336" w:rsidP="000567A5">
      <w:pPr>
        <w:pStyle w:val="ListParagraph"/>
        <w:numPr>
          <w:ilvl w:val="0"/>
          <w:numId w:val="32"/>
        </w:numPr>
      </w:pPr>
      <w:r w:rsidRPr="005B7336">
        <w:t xml:space="preserve">Develop acquisition plan (inclusive of the </w:t>
      </w:r>
      <w:r w:rsidR="00313F11">
        <w:t xml:space="preserve">Independent Government Cost Estimate, or </w:t>
      </w:r>
      <w:r w:rsidRPr="005B7336">
        <w:t>IGCE)</w:t>
      </w:r>
    </w:p>
    <w:p w14:paraId="04A38151" w14:textId="60F9237C" w:rsidR="00E0331F" w:rsidRPr="005B7336" w:rsidRDefault="00777768" w:rsidP="000567A5">
      <w:pPr>
        <w:pStyle w:val="ListParagraph"/>
        <w:numPr>
          <w:ilvl w:val="0"/>
          <w:numId w:val="32"/>
        </w:numPr>
      </w:pPr>
      <w:r>
        <w:t>Reference FAR 16.505</w:t>
      </w:r>
      <w:r w:rsidR="00D049E9">
        <w:t>;</w:t>
      </w:r>
      <w:r>
        <w:t xml:space="preserve"> r</w:t>
      </w:r>
      <w:r w:rsidR="005B7336" w:rsidRPr="005B7336">
        <w:t>equirements differ based on the dollar thresholds</w:t>
      </w:r>
      <w:r w:rsidR="00B10317">
        <w:t>.</w:t>
      </w:r>
    </w:p>
    <w:p w14:paraId="7356341A" w14:textId="77777777" w:rsidR="005B7336" w:rsidRPr="005B7336" w:rsidRDefault="005B7336" w:rsidP="004F6583">
      <w:pPr>
        <w:pStyle w:val="ListParagraph"/>
        <w:numPr>
          <w:ilvl w:val="0"/>
          <w:numId w:val="79"/>
        </w:numPr>
      </w:pPr>
      <w:bookmarkStart w:id="74" w:name="_Toc12525464"/>
      <w:r w:rsidRPr="005B7336">
        <w:t xml:space="preserve">Decide how many </w:t>
      </w:r>
      <w:r w:rsidR="009415EA">
        <w:t>solicitations</w:t>
      </w:r>
      <w:r w:rsidRPr="005B7336">
        <w:t xml:space="preserve"> are appropriate and develop them.  Each </w:t>
      </w:r>
      <w:r w:rsidR="00F4235F">
        <w:t>s</w:t>
      </w:r>
      <w:r w:rsidR="00310496">
        <w:t>olicitation can result in one or more</w:t>
      </w:r>
      <w:r w:rsidRPr="005B7336">
        <w:t xml:space="preserve"> TOs upon selection of the contractor(s)  </w:t>
      </w:r>
    </w:p>
    <w:p w14:paraId="4D19C467" w14:textId="77777777" w:rsidR="005B7336" w:rsidRPr="005B7336" w:rsidRDefault="005B7336" w:rsidP="004F6583">
      <w:pPr>
        <w:pStyle w:val="ListParagraph"/>
        <w:numPr>
          <w:ilvl w:val="0"/>
          <w:numId w:val="79"/>
        </w:numPr>
      </w:pPr>
      <w:r w:rsidRPr="005B7336">
        <w:t>Determine order placement process to be used in compliance with FAR 16.505 and in accordance with the terms and conditions of the contract</w:t>
      </w:r>
    </w:p>
    <w:p w14:paraId="7090801A" w14:textId="77777777" w:rsidR="005B7336" w:rsidRPr="005B7336" w:rsidRDefault="005B7336" w:rsidP="004F6583">
      <w:pPr>
        <w:pStyle w:val="ListParagraph"/>
        <w:numPr>
          <w:ilvl w:val="0"/>
          <w:numId w:val="79"/>
        </w:numPr>
      </w:pPr>
      <w:r w:rsidRPr="005B7336">
        <w:t>Conduct fair opportunity, as required and according to the defined order placement processes</w:t>
      </w:r>
    </w:p>
    <w:p w14:paraId="728F59BB" w14:textId="77777777" w:rsidR="005B7336" w:rsidRPr="005B7336" w:rsidRDefault="005B7336" w:rsidP="004F6583">
      <w:pPr>
        <w:pStyle w:val="ListParagraph"/>
        <w:numPr>
          <w:ilvl w:val="0"/>
          <w:numId w:val="79"/>
        </w:numPr>
      </w:pPr>
      <w:r w:rsidRPr="005B7336">
        <w:t>Award a TO(s) based on the results of the FO process; TO(s) must be fully funded</w:t>
      </w:r>
    </w:p>
    <w:p w14:paraId="0072578B" w14:textId="77777777" w:rsidR="005B7336" w:rsidRPr="005B7336" w:rsidRDefault="005B7336" w:rsidP="004F6583">
      <w:pPr>
        <w:pStyle w:val="ListParagraph"/>
        <w:numPr>
          <w:ilvl w:val="0"/>
          <w:numId w:val="79"/>
        </w:numPr>
      </w:pPr>
      <w:r w:rsidRPr="005B7336">
        <w:t>Place service orders against TO(s), including reference back to the TO(s)</w:t>
      </w:r>
      <w:r w:rsidR="008F4123">
        <w:t>.</w:t>
      </w:r>
    </w:p>
    <w:p w14:paraId="3D9525AB" w14:textId="77777777" w:rsidR="006E36DC" w:rsidRDefault="006E36DC" w:rsidP="002466A5"/>
    <w:p w14:paraId="1DD2F77A" w14:textId="77777777" w:rsidR="005B7336" w:rsidRPr="00D67752" w:rsidRDefault="00310496" w:rsidP="002466A5">
      <w:r>
        <w:t xml:space="preserve">GSA </w:t>
      </w:r>
      <w:r w:rsidR="000063F8">
        <w:t xml:space="preserve">has published a </w:t>
      </w:r>
      <w:r w:rsidR="000063F8" w:rsidRPr="00C95436">
        <w:rPr>
          <w:u w:val="single"/>
        </w:rPr>
        <w:t>Fair Opportunity and</w:t>
      </w:r>
      <w:r w:rsidR="005B7336" w:rsidRPr="00C95436">
        <w:rPr>
          <w:u w:val="single"/>
        </w:rPr>
        <w:t xml:space="preserve"> Ordering Guide</w:t>
      </w:r>
      <w:r w:rsidR="005B7336" w:rsidRPr="00D67752">
        <w:t xml:space="preserve"> </w:t>
      </w:r>
      <w:r w:rsidR="000063F8">
        <w:t>for additional guidance (see gsa.gov/eistransition)</w:t>
      </w:r>
      <w:r w:rsidR="005B7336" w:rsidRPr="00D67752">
        <w:t>.</w:t>
      </w:r>
    </w:p>
    <w:p w14:paraId="0E22F90F" w14:textId="77777777" w:rsidR="00C733D4" w:rsidRDefault="00C733D4" w:rsidP="00E436C5">
      <w:pPr>
        <w:pStyle w:val="Heading2Hdbk"/>
      </w:pPr>
      <w:bookmarkStart w:id="75" w:name="_Toc498950266"/>
      <w:bookmarkStart w:id="76" w:name="_Toc107325296"/>
      <w:r w:rsidRPr="00C733D4">
        <w:lastRenderedPageBreak/>
        <w:t>Arrange for GSA Assistance</w:t>
      </w:r>
      <w:bookmarkEnd w:id="74"/>
      <w:bookmarkEnd w:id="75"/>
      <w:bookmarkEnd w:id="76"/>
    </w:p>
    <w:p w14:paraId="6EB97E7A" w14:textId="77777777" w:rsidR="00C733D4" w:rsidRPr="005D0079" w:rsidRDefault="00C733D4" w:rsidP="00E436C5">
      <w:pPr>
        <w:pStyle w:val="Heading3Hdbk"/>
      </w:pPr>
      <w:bookmarkStart w:id="77" w:name="_Toc12525465"/>
      <w:bookmarkStart w:id="78" w:name="_Toc498950267"/>
      <w:bookmarkStart w:id="79" w:name="_Toc107325297"/>
      <w:r w:rsidRPr="002A6721">
        <w:t xml:space="preserve">GSA-Assisted </w:t>
      </w:r>
      <w:r w:rsidRPr="005D0079">
        <w:t>Transition</w:t>
      </w:r>
      <w:bookmarkEnd w:id="77"/>
      <w:bookmarkEnd w:id="78"/>
      <w:bookmarkEnd w:id="79"/>
    </w:p>
    <w:p w14:paraId="5D35F9D7" w14:textId="640FD67A" w:rsidR="00C733D4" w:rsidRPr="00C733D4" w:rsidRDefault="00C733D4" w:rsidP="002466A5">
      <w:r w:rsidRPr="00C733D4">
        <w:t xml:space="preserve">For agencies that have very straight-forward transitions </w:t>
      </w:r>
      <w:r w:rsidR="00CD3F18">
        <w:t>with</w:t>
      </w:r>
      <w:r w:rsidRPr="00C733D4">
        <w:t xml:space="preserve"> limited staff to conduct the transition, GSA </w:t>
      </w:r>
      <w:r w:rsidR="00915793">
        <w:t>can assist</w:t>
      </w:r>
      <w:r w:rsidR="00236CDA">
        <w:t xml:space="preserve"> with the FO </w:t>
      </w:r>
      <w:r w:rsidR="00A65126">
        <w:t>process</w:t>
      </w:r>
      <w:r w:rsidR="00875D92">
        <w:t xml:space="preserve"> and placing orders</w:t>
      </w:r>
      <w:r w:rsidR="00236CDA">
        <w:t xml:space="preserve">. </w:t>
      </w:r>
      <w:r w:rsidRPr="00C733D4">
        <w:t>An example of a transition that could meet this requirement is a smaller agency with only voice services and basic internet connectivity requirements through Networx; although, other types of services could also qualify. The agency will execute an IA</w:t>
      </w:r>
      <w:r w:rsidR="00B25A7C">
        <w:t>A</w:t>
      </w:r>
      <w:r w:rsidRPr="00C733D4">
        <w:t xml:space="preserve"> with GSA </w:t>
      </w:r>
      <w:r w:rsidR="00236CDA">
        <w:t xml:space="preserve">that specifies the type and level of support, such as </w:t>
      </w:r>
      <w:r w:rsidR="009B4927">
        <w:t xml:space="preserve">price </w:t>
      </w:r>
      <w:r w:rsidR="00236CDA">
        <w:t xml:space="preserve">comparison reports or assistance with using GSA’s Solicitation Assist Tool or assistance with executing </w:t>
      </w:r>
      <w:r w:rsidR="00CD3F18">
        <w:t>TOs</w:t>
      </w:r>
      <w:r w:rsidR="00236CDA">
        <w:t xml:space="preserve"> on EIS</w:t>
      </w:r>
      <w:r w:rsidRPr="00C733D4">
        <w:t xml:space="preserve">. GSA will contact agencies that are candidates for this assistance, or agencies may inquire through their </w:t>
      </w:r>
      <w:r w:rsidR="00A47FCA">
        <w:t>SB</w:t>
      </w:r>
      <w:r w:rsidRPr="00C733D4">
        <w:t>.</w:t>
      </w:r>
    </w:p>
    <w:p w14:paraId="7ABEA01E" w14:textId="77777777" w:rsidR="00C733D4" w:rsidRPr="00A6546F" w:rsidRDefault="00C733D4" w:rsidP="00E436C5">
      <w:pPr>
        <w:pStyle w:val="Heading3Hdbk"/>
      </w:pPr>
      <w:bookmarkStart w:id="80" w:name="_Toc12525466"/>
      <w:bookmarkStart w:id="81" w:name="_Toc498950268"/>
      <w:bookmarkStart w:id="82" w:name="_Toc107325298"/>
      <w:r w:rsidRPr="00C733D4">
        <w:t>Transition</w:t>
      </w:r>
      <w:r w:rsidR="00767D90">
        <w:t xml:space="preserve"> </w:t>
      </w:r>
      <w:r w:rsidRPr="00C733D4">
        <w:t>Assistance</w:t>
      </w:r>
      <w:bookmarkEnd w:id="80"/>
      <w:bookmarkEnd w:id="81"/>
      <w:bookmarkEnd w:id="82"/>
      <w:r w:rsidRPr="00C733D4">
        <w:t xml:space="preserve"> </w:t>
      </w:r>
    </w:p>
    <w:p w14:paraId="7E119821" w14:textId="2B984356" w:rsidR="00C733D4" w:rsidRPr="00C733D4" w:rsidRDefault="00310496" w:rsidP="002466A5">
      <w:r>
        <w:t xml:space="preserve">For agencies not in the GSA-Assisted Transition program, </w:t>
      </w:r>
      <w:r w:rsidR="00924704">
        <w:t>GSA</w:t>
      </w:r>
      <w:r>
        <w:t xml:space="preserve"> offers assistance in other forms. </w:t>
      </w:r>
      <w:r w:rsidR="00C733D4" w:rsidRPr="00C733D4">
        <w:t>While each agency is responsible for its own transition to EIS, agencies may request GSA’s assistance with transition activities. For example, help is available for the following:</w:t>
      </w:r>
    </w:p>
    <w:p w14:paraId="0406264C" w14:textId="77777777" w:rsidR="00C733D4" w:rsidRPr="00C733D4" w:rsidRDefault="00C733D4" w:rsidP="00E436C5">
      <w:pPr>
        <w:pStyle w:val="ListParagraph"/>
        <w:numPr>
          <w:ilvl w:val="0"/>
          <w:numId w:val="33"/>
        </w:numPr>
        <w:spacing w:before="60"/>
      </w:pPr>
      <w:r w:rsidRPr="00C733D4">
        <w:t>Inventory Confirmation</w:t>
      </w:r>
    </w:p>
    <w:p w14:paraId="7AF7F245" w14:textId="77777777" w:rsidR="00C733D4" w:rsidRPr="00C733D4" w:rsidRDefault="00C733D4" w:rsidP="000567A5">
      <w:pPr>
        <w:pStyle w:val="ListParagraph"/>
        <w:numPr>
          <w:ilvl w:val="0"/>
          <w:numId w:val="33"/>
        </w:numPr>
      </w:pPr>
      <w:r w:rsidRPr="00C733D4">
        <w:t>Solicitation Development</w:t>
      </w:r>
    </w:p>
    <w:p w14:paraId="151637E8" w14:textId="77777777" w:rsidR="00C733D4" w:rsidRPr="00C733D4" w:rsidRDefault="00C733D4" w:rsidP="000567A5">
      <w:pPr>
        <w:pStyle w:val="ListParagraph"/>
        <w:numPr>
          <w:ilvl w:val="0"/>
          <w:numId w:val="33"/>
        </w:numPr>
      </w:pPr>
      <w:r w:rsidRPr="00C733D4">
        <w:t>Pricing Research</w:t>
      </w:r>
    </w:p>
    <w:p w14:paraId="106B760F" w14:textId="77777777" w:rsidR="00C733D4" w:rsidRPr="00C733D4" w:rsidRDefault="00C733D4" w:rsidP="000567A5">
      <w:pPr>
        <w:pStyle w:val="ListParagraph"/>
        <w:numPr>
          <w:ilvl w:val="0"/>
          <w:numId w:val="33"/>
        </w:numPr>
      </w:pPr>
      <w:r w:rsidRPr="00C733D4">
        <w:t>Transition Planning</w:t>
      </w:r>
    </w:p>
    <w:p w14:paraId="12614CB4" w14:textId="77777777" w:rsidR="004E6AC9" w:rsidRDefault="00C733D4" w:rsidP="000567A5">
      <w:pPr>
        <w:pStyle w:val="ListParagraph"/>
        <w:numPr>
          <w:ilvl w:val="0"/>
          <w:numId w:val="33"/>
        </w:numPr>
      </w:pPr>
      <w:r w:rsidRPr="00C733D4">
        <w:t>Training</w:t>
      </w:r>
    </w:p>
    <w:p w14:paraId="059CC876" w14:textId="1101085E" w:rsidR="002468A2" w:rsidRDefault="004E6AC9" w:rsidP="000567A5">
      <w:pPr>
        <w:pStyle w:val="ListParagraph"/>
        <w:numPr>
          <w:ilvl w:val="0"/>
          <w:numId w:val="33"/>
        </w:numPr>
      </w:pPr>
      <w:r>
        <w:t>Price and Technical Evaluation</w:t>
      </w:r>
    </w:p>
    <w:p w14:paraId="1E6BF8FE" w14:textId="77777777" w:rsidR="004E6AC9" w:rsidRDefault="00C733D4" w:rsidP="000567A5">
      <w:pPr>
        <w:pStyle w:val="ListParagraph"/>
        <w:numPr>
          <w:ilvl w:val="0"/>
          <w:numId w:val="33"/>
        </w:numPr>
      </w:pPr>
      <w:r w:rsidRPr="00C733D4">
        <w:t>Ordering Process</w:t>
      </w:r>
    </w:p>
    <w:p w14:paraId="29AAC9B0" w14:textId="77777777" w:rsidR="004E6AC9" w:rsidRDefault="004E6AC9" w:rsidP="000567A5">
      <w:pPr>
        <w:pStyle w:val="ListParagraph"/>
        <w:numPr>
          <w:ilvl w:val="0"/>
          <w:numId w:val="33"/>
        </w:numPr>
      </w:pPr>
      <w:r>
        <w:t>Cutover Guidance</w:t>
      </w:r>
    </w:p>
    <w:p w14:paraId="149F91A5" w14:textId="77777777" w:rsidR="004E6AC9" w:rsidRDefault="004E6AC9" w:rsidP="000567A5">
      <w:pPr>
        <w:pStyle w:val="ListParagraph"/>
        <w:numPr>
          <w:ilvl w:val="0"/>
          <w:numId w:val="33"/>
        </w:numPr>
      </w:pPr>
      <w:r>
        <w:t>Disconnect Assistance</w:t>
      </w:r>
    </w:p>
    <w:p w14:paraId="7844A6A2" w14:textId="77777777" w:rsidR="00921F4F" w:rsidRDefault="004E6AC9" w:rsidP="000567A5">
      <w:pPr>
        <w:pStyle w:val="ListParagraph"/>
        <w:numPr>
          <w:ilvl w:val="0"/>
          <w:numId w:val="33"/>
        </w:numPr>
      </w:pPr>
      <w:r>
        <w:t>Transition Complete Verification</w:t>
      </w:r>
    </w:p>
    <w:p w14:paraId="6AC31462" w14:textId="4B9DD7B1" w:rsidR="00C733D4" w:rsidRPr="00C733D4" w:rsidRDefault="00666E36" w:rsidP="000567A5">
      <w:pPr>
        <w:pStyle w:val="ListParagraph"/>
        <w:numPr>
          <w:ilvl w:val="0"/>
          <w:numId w:val="33"/>
        </w:numPr>
      </w:pPr>
      <w:r>
        <w:t xml:space="preserve">Transition </w:t>
      </w:r>
      <w:r w:rsidR="00921F4F">
        <w:t>Risk Assessment (</w:t>
      </w:r>
      <w:r w:rsidR="00B54547">
        <w:t>from September 2021 through March 2022</w:t>
      </w:r>
      <w:r w:rsidR="00921F4F">
        <w:t>)</w:t>
      </w:r>
      <w:r w:rsidR="007E1CBA">
        <w:t>.</w:t>
      </w:r>
    </w:p>
    <w:p w14:paraId="58F1D24F" w14:textId="77777777" w:rsidR="00FD359E" w:rsidRDefault="00FD359E" w:rsidP="002466A5"/>
    <w:p w14:paraId="501E1151" w14:textId="0B5C0E17" w:rsidR="00C733D4" w:rsidRPr="00C733D4" w:rsidRDefault="00924704" w:rsidP="002466A5">
      <w:r>
        <w:t>GSA</w:t>
      </w:r>
      <w:r w:rsidR="00C733D4" w:rsidRPr="00C733D4">
        <w:t xml:space="preserve"> provides assistance tailored to each agency’s needs</w:t>
      </w:r>
      <w:r w:rsidR="00310496">
        <w:t xml:space="preserve">, and agencies can request assistance as needed as well as receive dedicated assistance. </w:t>
      </w:r>
      <w:r>
        <w:t>GSA</w:t>
      </w:r>
      <w:r w:rsidR="00310496">
        <w:t xml:space="preserve"> can help agencies</w:t>
      </w:r>
      <w:r w:rsidR="009415EA">
        <w:t xml:space="preserve"> </w:t>
      </w:r>
      <w:r w:rsidR="00C733D4" w:rsidRPr="00C733D4">
        <w:t xml:space="preserve">through the FO process and ordering services from the EIS contract, including analyzing customer requirements, proposing solutions and assessing their feasibility, making recommendations for service selection, determining the cost of the services, selecting an EIS contractor, and guiding customers on placing orders for those services.  </w:t>
      </w:r>
    </w:p>
    <w:p w14:paraId="2C8B2A7E" w14:textId="77777777" w:rsidR="00FD359E" w:rsidRDefault="00FD359E" w:rsidP="002466A5"/>
    <w:p w14:paraId="71E9E3FC" w14:textId="5324F94B" w:rsidR="00C733D4" w:rsidRDefault="00310496" w:rsidP="002466A5">
      <w:r>
        <w:t>Dedicated</w:t>
      </w:r>
      <w:r w:rsidRPr="00C733D4">
        <w:t xml:space="preserve"> </w:t>
      </w:r>
      <w:r w:rsidR="00C733D4" w:rsidRPr="00C733D4">
        <w:t xml:space="preserve">assistance </w:t>
      </w:r>
      <w:r w:rsidR="00767D90">
        <w:t xml:space="preserve">for </w:t>
      </w:r>
      <w:r w:rsidR="00767D90" w:rsidRPr="00C733D4">
        <w:t xml:space="preserve">transition </w:t>
      </w:r>
      <w:r w:rsidR="00767D90">
        <w:t xml:space="preserve">ordering </w:t>
      </w:r>
      <w:r w:rsidR="00915793">
        <w:t>is</w:t>
      </w:r>
      <w:r w:rsidR="00C733D4" w:rsidRPr="00C733D4">
        <w:t xml:space="preserve"> in the form of third-party contractor support.  The </w:t>
      </w:r>
      <w:r w:rsidR="0028706B">
        <w:t xml:space="preserve">TCC </w:t>
      </w:r>
      <w:r w:rsidR="00C733D4" w:rsidRPr="00C733D4">
        <w:t>fund</w:t>
      </w:r>
      <w:r w:rsidR="00921F4F">
        <w:t>ed</w:t>
      </w:r>
      <w:r w:rsidR="00C733D4" w:rsidRPr="00C733D4">
        <w:t xml:space="preserve"> </w:t>
      </w:r>
      <w:r w:rsidR="00915793">
        <w:t>the TOA</w:t>
      </w:r>
      <w:r w:rsidR="00915793" w:rsidRPr="00C733D4">
        <w:t xml:space="preserve"> </w:t>
      </w:r>
      <w:r w:rsidR="00AD3DC9">
        <w:t>TO</w:t>
      </w:r>
      <w:r w:rsidR="00C733D4" w:rsidRPr="00C733D4">
        <w:t xml:space="preserve"> </w:t>
      </w:r>
      <w:r w:rsidR="00921F4F">
        <w:t xml:space="preserve">through September 2021 </w:t>
      </w:r>
      <w:r w:rsidR="00C733D4" w:rsidRPr="00C733D4">
        <w:t>under a GSA contract to provide direct contractor support.</w:t>
      </w:r>
      <w:r w:rsidR="0019102E">
        <w:t xml:space="preserve"> </w:t>
      </w:r>
      <w:bookmarkStart w:id="83" w:name="_Hlk104914779"/>
      <w:r w:rsidR="0019102E">
        <w:t xml:space="preserve">Similar support is also available to agencies through the TCC. </w:t>
      </w:r>
      <w:bookmarkEnd w:id="83"/>
      <w:r w:rsidR="0019102E">
        <w:t xml:space="preserve">In </w:t>
      </w:r>
      <w:r w:rsidR="00691DBD">
        <w:t>addition,</w:t>
      </w:r>
      <w:r w:rsidR="002208A1">
        <w:t xml:space="preserve"> </w:t>
      </w:r>
      <w:r w:rsidR="0019102E">
        <w:t>n</w:t>
      </w:r>
      <w:r w:rsidR="001C0AB1">
        <w:t>etwork engineering</w:t>
      </w:r>
      <w:r w:rsidR="002208A1">
        <w:t xml:space="preserve"> assistance for implementation</w:t>
      </w:r>
      <w:r w:rsidR="001C0AB1">
        <w:t xml:space="preserve"> of complex TOs</w:t>
      </w:r>
      <w:r w:rsidR="002208A1">
        <w:t xml:space="preserve"> is available </w:t>
      </w:r>
      <w:r w:rsidR="0019102E">
        <w:t xml:space="preserve">to agencies </w:t>
      </w:r>
      <w:r w:rsidR="002208A1">
        <w:t>through the Transition Engineering Assistance (TEA</w:t>
      </w:r>
      <w:r w:rsidR="008711C8">
        <w:t xml:space="preserve">) </w:t>
      </w:r>
      <w:r w:rsidR="001C0AB1">
        <w:t>project</w:t>
      </w:r>
      <w:r w:rsidR="002208A1">
        <w:t>.</w:t>
      </w:r>
    </w:p>
    <w:p w14:paraId="34DC2DF0" w14:textId="77777777" w:rsidR="00F311F8" w:rsidRPr="00C733D4" w:rsidRDefault="00F311F8" w:rsidP="002466A5"/>
    <w:p w14:paraId="7DDB1F88" w14:textId="3C8ADAC7" w:rsidR="00C733D4" w:rsidRPr="00C733D4" w:rsidRDefault="00C733D4" w:rsidP="002466A5">
      <w:r w:rsidRPr="00C733D4">
        <w:lastRenderedPageBreak/>
        <w:t xml:space="preserve">An agency can request assistance by contacting its </w:t>
      </w:r>
      <w:r w:rsidR="00A47FCA">
        <w:t>SB</w:t>
      </w:r>
      <w:r w:rsidR="0010011D" w:rsidRPr="00C733D4">
        <w:t xml:space="preserve"> </w:t>
      </w:r>
      <w:r w:rsidRPr="00C733D4">
        <w:t>at GSA and should certainly consider it while developing the ATP and include any requirements in that plan when delivering it to GSA prior to the EIS award. The assistance offered by GSA is available to the agencies for a specific set of requirements</w:t>
      </w:r>
      <w:r w:rsidR="00C07F17">
        <w:t>, on a reimbursable basis,</w:t>
      </w:r>
      <w:r w:rsidRPr="00C733D4">
        <w:t xml:space="preserve"> and is not meant to augment an agency’s staff or perform inherently government functions. </w:t>
      </w:r>
      <w:r w:rsidR="00EA474A" w:rsidRPr="00EA474A">
        <w:t>GSA and each agency receivin</w:t>
      </w:r>
      <w:r w:rsidR="006B4611">
        <w:t xml:space="preserve">g services from the </w:t>
      </w:r>
      <w:r w:rsidR="00AD3DC9">
        <w:t>TO</w:t>
      </w:r>
      <w:r w:rsidR="00EA474A" w:rsidRPr="00EA474A">
        <w:t xml:space="preserve"> establish an IA</w:t>
      </w:r>
      <w:r w:rsidR="000F7E85">
        <w:t>A</w:t>
      </w:r>
      <w:r w:rsidR="00EA474A" w:rsidRPr="00EA474A">
        <w:t xml:space="preserve">.  </w:t>
      </w:r>
      <w:r w:rsidR="000F7E85">
        <w:t xml:space="preserve">GSA </w:t>
      </w:r>
      <w:r w:rsidR="000F7E85" w:rsidRPr="000F7E85">
        <w:t xml:space="preserve">retains overall </w:t>
      </w:r>
      <w:r w:rsidR="00AD3DC9">
        <w:t>TO</w:t>
      </w:r>
      <w:r w:rsidR="000F7E85">
        <w:t xml:space="preserve"> administration, </w:t>
      </w:r>
      <w:r w:rsidR="000F7E85" w:rsidRPr="000F7E85">
        <w:t>project management, funding, and performance-monitoring responsibilities for this task</w:t>
      </w:r>
      <w:r w:rsidR="000F7E85">
        <w:t>; t</w:t>
      </w:r>
      <w:r w:rsidR="00EA474A" w:rsidRPr="00EA474A">
        <w:t xml:space="preserve">he </w:t>
      </w:r>
      <w:r w:rsidR="000F7E85">
        <w:t xml:space="preserve">agency supports GSA by </w:t>
      </w:r>
      <w:r w:rsidR="00EA474A" w:rsidRPr="00EA474A">
        <w:t>identif</w:t>
      </w:r>
      <w:r w:rsidR="000F7E85">
        <w:t>ying in the IAA</w:t>
      </w:r>
      <w:r w:rsidR="00EA474A" w:rsidRPr="00EA474A">
        <w:t xml:space="preserve"> a project manager (PM) at the agency who will monitor the contractor's performance, including deliverables, and report quarterly to the </w:t>
      </w:r>
      <w:r w:rsidR="005B3FB3">
        <w:t>TO</w:t>
      </w:r>
      <w:r w:rsidR="00EA474A" w:rsidRPr="00EA474A">
        <w:t xml:space="preserve"> </w:t>
      </w:r>
      <w:r w:rsidR="005B3FB3">
        <w:t>Contracting Officer’s Representative (</w:t>
      </w:r>
      <w:r w:rsidR="006B4611" w:rsidRPr="006B4611">
        <w:t>COR</w:t>
      </w:r>
      <w:r w:rsidR="005B3FB3">
        <w:t>)</w:t>
      </w:r>
      <w:r w:rsidR="006B4611" w:rsidRPr="006B4611">
        <w:t>. The PM also integrates the consultant contractors into the procurement team conducting the FO activities, including the OCO, as well as financial, program office, and technical experts</w:t>
      </w:r>
      <w:r w:rsidR="00EA474A" w:rsidRPr="00EA474A">
        <w:t>.</w:t>
      </w:r>
    </w:p>
    <w:p w14:paraId="5A55B252" w14:textId="77777777" w:rsidR="00C733D4" w:rsidRPr="0060463B" w:rsidRDefault="00C733D4" w:rsidP="00E436C5">
      <w:pPr>
        <w:pStyle w:val="Heading3Hdbk"/>
      </w:pPr>
      <w:bookmarkStart w:id="84" w:name="_Toc12525467"/>
      <w:bookmarkStart w:id="85" w:name="_Toc498950269"/>
      <w:bookmarkStart w:id="86" w:name="_Toc107325299"/>
      <w:r w:rsidRPr="0060463B">
        <w:t>GSA TCC Training Plan</w:t>
      </w:r>
      <w:bookmarkEnd w:id="84"/>
      <w:bookmarkEnd w:id="85"/>
      <w:bookmarkEnd w:id="86"/>
    </w:p>
    <w:p w14:paraId="24A6CED4" w14:textId="7DBAF077" w:rsidR="00C733D4" w:rsidRPr="00C733D4" w:rsidRDefault="00C733D4" w:rsidP="002466A5">
      <w:pPr>
        <w:rPr>
          <w:i/>
        </w:rPr>
      </w:pPr>
      <w:r w:rsidRPr="00C733D4">
        <w:t xml:space="preserve">The </w:t>
      </w:r>
      <w:r w:rsidRPr="00C95436">
        <w:rPr>
          <w:u w:val="single"/>
        </w:rPr>
        <w:t>GSA TCC Training Plan</w:t>
      </w:r>
      <w:r w:rsidRPr="00C733D4">
        <w:t xml:space="preserve"> for EIS consists of courses designed to assist agencies with the transition to EIS.  </w:t>
      </w:r>
      <w:r w:rsidR="00767D90">
        <w:t>T</w:t>
      </w:r>
      <w:r w:rsidRPr="00C733D4">
        <w:t xml:space="preserve">raining modules </w:t>
      </w:r>
      <w:r w:rsidR="00985864">
        <w:t>are</w:t>
      </w:r>
      <w:r w:rsidRPr="00C733D4">
        <w:t xml:space="preserve"> available through Instructor Led Training (ILT) and </w:t>
      </w:r>
      <w:r w:rsidR="00F279A2">
        <w:t>e</w:t>
      </w:r>
      <w:r w:rsidRPr="00C733D4">
        <w:t xml:space="preserve">Learning modules. </w:t>
      </w:r>
      <w:r w:rsidR="004711D5">
        <w:t xml:space="preserve">Additional information and access to previously recorded training sessions can be found at </w:t>
      </w:r>
      <w:hyperlink r:id="rId25" w:history="1">
        <w:r w:rsidR="00F60AAC" w:rsidRPr="00E436C5">
          <w:rPr>
            <w:rStyle w:val="Hyperlink"/>
          </w:rPr>
          <w:t>www.gsa.gov/eistransition</w:t>
        </w:r>
      </w:hyperlink>
      <w:r w:rsidR="00767D90" w:rsidRPr="00E436C5">
        <w:rPr>
          <w:rStyle w:val="Hyperlink"/>
        </w:rPr>
        <w:t>.</w:t>
      </w:r>
    </w:p>
    <w:p w14:paraId="2E596918" w14:textId="77777777" w:rsidR="00FD359E" w:rsidRDefault="00FD359E" w:rsidP="002466A5"/>
    <w:p w14:paraId="37217B89" w14:textId="4340BC28" w:rsidR="00C733D4" w:rsidRDefault="00767D90" w:rsidP="002466A5">
      <w:r>
        <w:t>Training modules include the following topics:</w:t>
      </w:r>
    </w:p>
    <w:p w14:paraId="1A8D0AFE" w14:textId="1D5994C2" w:rsidR="00767D90" w:rsidRPr="00767D90" w:rsidRDefault="00767D90" w:rsidP="00E436C5">
      <w:pPr>
        <w:pStyle w:val="ListParagraph"/>
        <w:numPr>
          <w:ilvl w:val="0"/>
          <w:numId w:val="37"/>
        </w:numPr>
        <w:spacing w:before="120"/>
      </w:pPr>
      <w:r w:rsidRPr="00767D90">
        <w:t>EIS Fundamentals</w:t>
      </w:r>
      <w:r w:rsidR="00363C91">
        <w:t xml:space="preserve"> (Archived July 2017)</w:t>
      </w:r>
    </w:p>
    <w:p w14:paraId="2FEB6C0B" w14:textId="59C20FE8" w:rsidR="00767D90" w:rsidRDefault="00767D90" w:rsidP="000567A5">
      <w:pPr>
        <w:pStyle w:val="ListParagraph"/>
        <w:numPr>
          <w:ilvl w:val="0"/>
          <w:numId w:val="37"/>
        </w:numPr>
      </w:pPr>
      <w:r w:rsidRPr="00767D90">
        <w:t>Transition Inventory</w:t>
      </w:r>
      <w:r w:rsidR="00D54131">
        <w:t xml:space="preserve"> (TI)</w:t>
      </w:r>
    </w:p>
    <w:p w14:paraId="5D892980" w14:textId="7010BFA7" w:rsidR="00834496" w:rsidRPr="00767D90" w:rsidRDefault="00834496" w:rsidP="000567A5">
      <w:pPr>
        <w:pStyle w:val="ListParagraph"/>
        <w:numPr>
          <w:ilvl w:val="0"/>
          <w:numId w:val="37"/>
        </w:numPr>
      </w:pPr>
      <w:r>
        <w:t xml:space="preserve">All Agency Inventory </w:t>
      </w:r>
      <w:r w:rsidR="00D54131">
        <w:t>(AAI)</w:t>
      </w:r>
    </w:p>
    <w:p w14:paraId="1ABED262" w14:textId="77777777" w:rsidR="001A4ECB" w:rsidRDefault="001A4ECB" w:rsidP="001A4ECB">
      <w:pPr>
        <w:pStyle w:val="ListParagraph"/>
        <w:numPr>
          <w:ilvl w:val="0"/>
          <w:numId w:val="37"/>
        </w:numPr>
      </w:pPr>
      <w:r>
        <w:t>Telecom 101 and EIS Pricing Structures</w:t>
      </w:r>
    </w:p>
    <w:p w14:paraId="2EBFF9FD" w14:textId="77777777" w:rsidR="001A4ECB" w:rsidRDefault="001A4ECB" w:rsidP="001A4ECB">
      <w:pPr>
        <w:pStyle w:val="ListParagraph"/>
        <w:numPr>
          <w:ilvl w:val="0"/>
          <w:numId w:val="37"/>
        </w:numPr>
      </w:pPr>
      <w:r>
        <w:t>EIS Pricer</w:t>
      </w:r>
    </w:p>
    <w:p w14:paraId="1F39CAF7" w14:textId="30DF00A1" w:rsidR="001A4ECB" w:rsidRPr="0035344B" w:rsidRDefault="001A4ECB" w:rsidP="001A4ECB">
      <w:pPr>
        <w:pStyle w:val="ListParagraph"/>
        <w:numPr>
          <w:ilvl w:val="0"/>
          <w:numId w:val="37"/>
        </w:numPr>
      </w:pPr>
      <w:r>
        <w:t>Solicitation Assist Tool</w:t>
      </w:r>
    </w:p>
    <w:p w14:paraId="3AC0FBDF" w14:textId="7627E1F9" w:rsidR="00943ACB" w:rsidRDefault="00943ACB" w:rsidP="000567A5">
      <w:pPr>
        <w:pStyle w:val="ListParagraph"/>
        <w:numPr>
          <w:ilvl w:val="0"/>
          <w:numId w:val="37"/>
        </w:numPr>
      </w:pPr>
      <w:r>
        <w:t>Fair Opportunity and Ordering</w:t>
      </w:r>
    </w:p>
    <w:p w14:paraId="061372F5" w14:textId="476AA827" w:rsidR="001A4ECB" w:rsidRPr="00F279A2" w:rsidRDefault="001A4ECB" w:rsidP="001A4ECB">
      <w:pPr>
        <w:pStyle w:val="ListParagraph"/>
        <w:numPr>
          <w:ilvl w:val="0"/>
          <w:numId w:val="37"/>
        </w:numPr>
      </w:pPr>
      <w:r>
        <w:t>Delegation of Procurement Authority</w:t>
      </w:r>
    </w:p>
    <w:p w14:paraId="57603221" w14:textId="77777777" w:rsidR="001A4ECB" w:rsidRDefault="001A4ECB" w:rsidP="001A4ECB">
      <w:pPr>
        <w:pStyle w:val="ListParagraph"/>
        <w:numPr>
          <w:ilvl w:val="0"/>
          <w:numId w:val="37"/>
        </w:numPr>
      </w:pPr>
      <w:r>
        <w:t>Introduction to GSA Conexus</w:t>
      </w:r>
    </w:p>
    <w:p w14:paraId="188B7042" w14:textId="0222D94A" w:rsidR="00943ACB" w:rsidRDefault="003023FB" w:rsidP="000567A5">
      <w:pPr>
        <w:pStyle w:val="ListParagraph"/>
        <w:numPr>
          <w:ilvl w:val="0"/>
          <w:numId w:val="37"/>
        </w:numPr>
      </w:pPr>
      <w:r>
        <w:t xml:space="preserve">EIS </w:t>
      </w:r>
      <w:r w:rsidR="00943ACB">
        <w:t>Management and Operations</w:t>
      </w:r>
      <w:r w:rsidR="001A4ECB">
        <w:t>.</w:t>
      </w:r>
    </w:p>
    <w:p w14:paraId="15916C1A" w14:textId="64AD05FE" w:rsidR="00C733D4" w:rsidRDefault="00C733D4" w:rsidP="00E436C5">
      <w:pPr>
        <w:pStyle w:val="Heading1"/>
        <w:numPr>
          <w:ilvl w:val="0"/>
          <w:numId w:val="2"/>
        </w:numPr>
      </w:pPr>
      <w:bookmarkStart w:id="87" w:name="_Toc12525468"/>
      <w:bookmarkStart w:id="88" w:name="_Toc498950270"/>
      <w:bookmarkStart w:id="89" w:name="_Toc107325300"/>
      <w:r w:rsidRPr="00C733D4">
        <w:t>Transition Management and Implementation</w:t>
      </w:r>
      <w:bookmarkEnd w:id="87"/>
      <w:bookmarkEnd w:id="88"/>
      <w:bookmarkEnd w:id="89"/>
    </w:p>
    <w:p w14:paraId="5CCBC8D3" w14:textId="254DE651" w:rsidR="005203FA" w:rsidRPr="00B42504" w:rsidRDefault="005203FA" w:rsidP="00B42504">
      <w:pPr>
        <w:rPr>
          <w:rFonts w:eastAsia="Arial Unicode MS"/>
        </w:rPr>
      </w:pPr>
      <w:r w:rsidRPr="00C733D4">
        <w:rPr>
          <w:rFonts w:eastAsia="Arial Unicode MS"/>
        </w:rPr>
        <w:t>GSA</w:t>
      </w:r>
      <w:r>
        <w:rPr>
          <w:rFonts w:eastAsia="Arial Unicode MS"/>
        </w:rPr>
        <w:t>’s FOOG</w:t>
      </w:r>
      <w:r w:rsidRPr="00C733D4">
        <w:rPr>
          <w:rFonts w:eastAsia="Arial Unicode MS"/>
        </w:rPr>
        <w:t xml:space="preserve"> </w:t>
      </w:r>
      <w:r>
        <w:rPr>
          <w:rFonts w:eastAsia="Arial Unicode MS"/>
        </w:rPr>
        <w:t>provides</w:t>
      </w:r>
      <w:r w:rsidRPr="00C733D4">
        <w:rPr>
          <w:rFonts w:eastAsia="Arial Unicode MS"/>
        </w:rPr>
        <w:t xml:space="preserve"> more detailed guidance on the process</w:t>
      </w:r>
      <w:r>
        <w:rPr>
          <w:rFonts w:eastAsia="Arial Unicode MS"/>
        </w:rPr>
        <w:t>, and the MOPS Handbook explains the ordering and billing requirements in the EIS contracts (</w:t>
      </w:r>
      <w:hyperlink r:id="rId26" w:history="1">
        <w:r w:rsidRPr="00215C9F">
          <w:rPr>
            <w:rStyle w:val="Hyperlink"/>
            <w:rFonts w:eastAsia="Arial Unicode MS"/>
          </w:rPr>
          <w:t>gsa.gov/eistransition</w:t>
        </w:r>
      </w:hyperlink>
      <w:r>
        <w:rPr>
          <w:rFonts w:eastAsia="Arial Unicode MS"/>
        </w:rPr>
        <w:t>)</w:t>
      </w:r>
      <w:r w:rsidRPr="00C733D4">
        <w:rPr>
          <w:rFonts w:eastAsia="Arial Unicode MS"/>
        </w:rPr>
        <w:t xml:space="preserve">.  </w:t>
      </w:r>
      <w:r>
        <w:rPr>
          <w:rFonts w:eastAsia="Arial Unicode MS"/>
        </w:rPr>
        <w:t>T</w:t>
      </w:r>
      <w:r w:rsidRPr="00C733D4">
        <w:rPr>
          <w:rFonts w:eastAsia="Arial Unicode MS"/>
        </w:rPr>
        <w:t>he summary information below can assist with planning.</w:t>
      </w:r>
    </w:p>
    <w:p w14:paraId="20BB2FD6" w14:textId="5D5B7058" w:rsidR="005203FA" w:rsidRDefault="005203FA" w:rsidP="00774C8C">
      <w:pPr>
        <w:pStyle w:val="Heading2Hdbk"/>
      </w:pPr>
      <w:bookmarkStart w:id="90" w:name="_Toc12525469"/>
      <w:bookmarkStart w:id="91" w:name="_Toc107325301"/>
      <w:r>
        <w:t>Develop Fair Opportunity Solicitations</w:t>
      </w:r>
      <w:bookmarkEnd w:id="90"/>
      <w:bookmarkEnd w:id="91"/>
    </w:p>
    <w:p w14:paraId="0C9354C1" w14:textId="0F8E8F11" w:rsidR="005203FA" w:rsidRDefault="005203FA" w:rsidP="005203FA">
      <w:pPr>
        <w:rPr>
          <w:rFonts w:eastAsia="Arial Unicode MS"/>
        </w:rPr>
      </w:pPr>
      <w:r>
        <w:rPr>
          <w:rFonts w:eastAsia="Arial Unicode MS"/>
        </w:rPr>
        <w:t>When developing FO solicitations, agencies should be mindful of factors that can facilitate or expedite the TO award process and result in the best solution at the best price. Variations are certainly allowable but may increase the time for contractors to develop proposed solutions and can increase cost. These factors include:</w:t>
      </w:r>
    </w:p>
    <w:p w14:paraId="0B272EC2" w14:textId="77777777" w:rsidR="005203FA" w:rsidRPr="00365655" w:rsidRDefault="005203FA" w:rsidP="00E436C5">
      <w:pPr>
        <w:pStyle w:val="ListParagraph"/>
        <w:numPr>
          <w:ilvl w:val="0"/>
          <w:numId w:val="38"/>
        </w:numPr>
        <w:spacing w:before="120"/>
        <w:rPr>
          <w:rFonts w:eastAsia="Arial Unicode MS"/>
        </w:rPr>
      </w:pPr>
      <w:r w:rsidRPr="00365655">
        <w:rPr>
          <w:rFonts w:eastAsia="Arial Unicode MS"/>
        </w:rPr>
        <w:lastRenderedPageBreak/>
        <w:t>Minimizing customized service level agreements or billing requirements beyond those specified in the EIS contracts</w:t>
      </w:r>
    </w:p>
    <w:p w14:paraId="79397641" w14:textId="6B132C5B" w:rsidR="005203FA" w:rsidRPr="00365655" w:rsidRDefault="005203FA" w:rsidP="000567A5">
      <w:pPr>
        <w:pStyle w:val="ListParagraph"/>
        <w:numPr>
          <w:ilvl w:val="0"/>
          <w:numId w:val="38"/>
        </w:numPr>
        <w:rPr>
          <w:rFonts w:eastAsia="Arial Unicode MS"/>
        </w:rPr>
      </w:pPr>
      <w:r w:rsidRPr="00365655">
        <w:rPr>
          <w:rFonts w:eastAsia="Arial Unicode MS"/>
        </w:rPr>
        <w:t xml:space="preserve">Providing detail to describe requirements more comprehensively, for example, including the </w:t>
      </w:r>
      <w:r>
        <w:rPr>
          <w:rFonts w:eastAsia="Arial Unicode MS"/>
        </w:rPr>
        <w:t>TI</w:t>
      </w:r>
      <w:r w:rsidRPr="00365655">
        <w:rPr>
          <w:rFonts w:eastAsia="Arial Unicode MS"/>
        </w:rPr>
        <w:t xml:space="preserve"> for services to be replaced</w:t>
      </w:r>
    </w:p>
    <w:p w14:paraId="2C7A9B25" w14:textId="77777777" w:rsidR="005203FA" w:rsidRPr="00365655" w:rsidRDefault="005203FA" w:rsidP="000567A5">
      <w:pPr>
        <w:pStyle w:val="ListParagraph"/>
        <w:numPr>
          <w:ilvl w:val="0"/>
          <w:numId w:val="38"/>
        </w:numPr>
        <w:rPr>
          <w:rFonts w:eastAsia="Arial Unicode MS"/>
        </w:rPr>
      </w:pPr>
      <w:r w:rsidRPr="00365655">
        <w:rPr>
          <w:rFonts w:eastAsia="Arial Unicode MS"/>
        </w:rPr>
        <w:t>Describing requirements functionally rather than as pre-defined technical solutions or specific products</w:t>
      </w:r>
    </w:p>
    <w:p w14:paraId="769E93E9" w14:textId="77777777" w:rsidR="005203FA" w:rsidRPr="00365655" w:rsidRDefault="005203FA" w:rsidP="000567A5">
      <w:pPr>
        <w:pStyle w:val="ListParagraph"/>
        <w:numPr>
          <w:ilvl w:val="0"/>
          <w:numId w:val="38"/>
        </w:numPr>
        <w:rPr>
          <w:rFonts w:eastAsia="Arial Unicode MS"/>
        </w:rPr>
      </w:pPr>
      <w:r w:rsidRPr="00365655">
        <w:rPr>
          <w:rFonts w:eastAsia="Arial Unicode MS"/>
        </w:rPr>
        <w:t>Using pricing templates structured similarly to those in the EIS contracts.</w:t>
      </w:r>
    </w:p>
    <w:p w14:paraId="06ECDB85" w14:textId="1FF1F7C6" w:rsidR="00C733D4" w:rsidRDefault="00C733D4" w:rsidP="00774C8C">
      <w:pPr>
        <w:pStyle w:val="Heading2Hdbk"/>
      </w:pPr>
      <w:bookmarkStart w:id="92" w:name="_Toc12525470"/>
      <w:bookmarkStart w:id="93" w:name="_Toc107325302"/>
      <w:r w:rsidRPr="00C733D4">
        <w:t>Award Task Orders</w:t>
      </w:r>
      <w:bookmarkEnd w:id="92"/>
      <w:bookmarkEnd w:id="93"/>
    </w:p>
    <w:p w14:paraId="64E0B5BF" w14:textId="30E6E9B1" w:rsidR="009A051C" w:rsidRPr="00C733D4" w:rsidRDefault="00C733D4" w:rsidP="009B7B17">
      <w:pPr>
        <w:rPr>
          <w:rFonts w:eastAsia="Arial Unicode MS"/>
        </w:rPr>
      </w:pPr>
      <w:r w:rsidRPr="00C733D4">
        <w:rPr>
          <w:rFonts w:eastAsia="Arial Unicode MS"/>
        </w:rPr>
        <w:t xml:space="preserve">Through the order placement process for each set of requirements, the agency’s OCO will select the EIS contractor best suited to provide the required services and execute a TO with the contractor. </w:t>
      </w:r>
      <w:r w:rsidR="003A23B3">
        <w:rPr>
          <w:rFonts w:eastAsia="Arial Unicode MS"/>
        </w:rPr>
        <w:t>T</w:t>
      </w:r>
      <w:r w:rsidRPr="00C733D4">
        <w:rPr>
          <w:rFonts w:eastAsia="Arial Unicode MS"/>
        </w:rPr>
        <w:t xml:space="preserve">he OCO must obligate sufficient funds on the </w:t>
      </w:r>
      <w:r w:rsidR="00312432">
        <w:rPr>
          <w:rFonts w:eastAsia="Arial Unicode MS"/>
        </w:rPr>
        <w:t>TO</w:t>
      </w:r>
      <w:r w:rsidRPr="00C733D4">
        <w:rPr>
          <w:rFonts w:eastAsia="Arial Unicode MS"/>
        </w:rPr>
        <w:t xml:space="preserve"> </w:t>
      </w:r>
      <w:r w:rsidR="005F2174">
        <w:rPr>
          <w:rFonts w:eastAsia="Arial Unicode MS"/>
        </w:rPr>
        <w:t xml:space="preserve">to </w:t>
      </w:r>
      <w:r w:rsidRPr="00C733D4">
        <w:rPr>
          <w:rFonts w:eastAsia="Arial Unicode MS"/>
        </w:rPr>
        <w:t xml:space="preserve">cover the base period. Agencies may elect to place service orders. If elected, service orders must be within scope of the </w:t>
      </w:r>
      <w:r w:rsidR="00312432">
        <w:rPr>
          <w:rFonts w:eastAsia="Arial Unicode MS"/>
        </w:rPr>
        <w:t>TO</w:t>
      </w:r>
      <w:r w:rsidRPr="00C733D4">
        <w:rPr>
          <w:rFonts w:eastAsia="Arial Unicode MS"/>
        </w:rPr>
        <w:t xml:space="preserve"> and EIS contract, and cannot obligate funds or exceed the established funding on the </w:t>
      </w:r>
      <w:r w:rsidR="00312432">
        <w:rPr>
          <w:rFonts w:eastAsia="Arial Unicode MS"/>
        </w:rPr>
        <w:t>TO</w:t>
      </w:r>
      <w:r w:rsidRPr="00C733D4">
        <w:rPr>
          <w:rFonts w:eastAsia="Arial Unicode MS"/>
        </w:rPr>
        <w:t xml:space="preserve">. The funding obligation on the </w:t>
      </w:r>
      <w:r w:rsidR="00312432">
        <w:rPr>
          <w:rFonts w:eastAsia="Arial Unicode MS"/>
        </w:rPr>
        <w:t>TO</w:t>
      </w:r>
      <w:r w:rsidRPr="00C733D4">
        <w:rPr>
          <w:rFonts w:eastAsia="Arial Unicode MS"/>
        </w:rPr>
        <w:t xml:space="preserve"> may be a not-to-exceed (NTE) amount. Subsequently, the agency may begin placing service orders against the TO following the process described </w:t>
      </w:r>
      <w:r w:rsidR="006D399B">
        <w:rPr>
          <w:rFonts w:eastAsia="Arial Unicode MS"/>
        </w:rPr>
        <w:t xml:space="preserve">below </w:t>
      </w:r>
      <w:r w:rsidRPr="00C733D4">
        <w:rPr>
          <w:rFonts w:eastAsia="Arial Unicode MS"/>
        </w:rPr>
        <w:t xml:space="preserve">in </w:t>
      </w:r>
      <w:r w:rsidR="003A23B3" w:rsidRPr="006B31DB">
        <w:rPr>
          <w:rFonts w:eastAsia="Arial Unicode MS"/>
        </w:rPr>
        <w:t xml:space="preserve">Section </w:t>
      </w:r>
      <w:r w:rsidR="00B51B48" w:rsidRPr="006B31DB">
        <w:rPr>
          <w:rFonts w:eastAsia="Arial Unicode MS"/>
        </w:rPr>
        <w:fldChar w:fldCharType="begin"/>
      </w:r>
      <w:r w:rsidR="00B51B48" w:rsidRPr="006B31DB">
        <w:rPr>
          <w:rFonts w:eastAsia="Arial Unicode MS"/>
        </w:rPr>
        <w:instrText xml:space="preserve"> REF _Ref451426878 \w \h  \* MERGEFORMAT </w:instrText>
      </w:r>
      <w:r w:rsidR="00B51B48" w:rsidRPr="006B31DB">
        <w:rPr>
          <w:rFonts w:eastAsia="Arial Unicode MS"/>
        </w:rPr>
      </w:r>
      <w:r w:rsidR="00B51B48" w:rsidRPr="006B31DB">
        <w:rPr>
          <w:rFonts w:eastAsia="Arial Unicode MS"/>
        </w:rPr>
        <w:fldChar w:fldCharType="separate"/>
      </w:r>
      <w:r w:rsidR="00B51B48">
        <w:rPr>
          <w:rFonts w:eastAsia="Arial Unicode MS"/>
        </w:rPr>
        <w:t>8.3</w:t>
      </w:r>
      <w:r w:rsidR="00B51B48" w:rsidRPr="006B31DB">
        <w:rPr>
          <w:rFonts w:eastAsia="Arial Unicode MS"/>
        </w:rPr>
        <w:fldChar w:fldCharType="end"/>
      </w:r>
      <w:r w:rsidR="006B31DB" w:rsidRPr="006B31DB">
        <w:rPr>
          <w:rFonts w:eastAsia="Arial Unicode MS"/>
        </w:rPr>
        <w:t xml:space="preserve">, </w:t>
      </w:r>
      <w:r w:rsidR="006B31DB" w:rsidRPr="006B31DB">
        <w:rPr>
          <w:rFonts w:eastAsia="Arial Unicode MS"/>
        </w:rPr>
        <w:fldChar w:fldCharType="begin"/>
      </w:r>
      <w:r w:rsidR="006B31DB" w:rsidRPr="006B31DB">
        <w:rPr>
          <w:rFonts w:eastAsia="Arial Unicode MS"/>
        </w:rPr>
        <w:instrText xml:space="preserve"> REF _Ref451426897 \h  \* MERGEFORMAT </w:instrText>
      </w:r>
      <w:r w:rsidR="006B31DB" w:rsidRPr="006B31DB">
        <w:rPr>
          <w:rFonts w:eastAsia="Arial Unicode MS"/>
        </w:rPr>
      </w:r>
      <w:r w:rsidR="006B31DB" w:rsidRPr="006B31DB">
        <w:rPr>
          <w:rFonts w:eastAsia="Arial Unicode MS"/>
        </w:rPr>
        <w:fldChar w:fldCharType="separate"/>
      </w:r>
      <w:r w:rsidR="007A4B19" w:rsidRPr="00C733D4">
        <w:t>Order</w:t>
      </w:r>
      <w:r w:rsidR="007A4B19">
        <w:t>ing</w:t>
      </w:r>
      <w:r w:rsidR="007A4B19" w:rsidRPr="00C733D4">
        <w:t xml:space="preserve"> Process</w:t>
      </w:r>
      <w:r w:rsidR="006B31DB" w:rsidRPr="006B31DB">
        <w:rPr>
          <w:rFonts w:eastAsia="Arial Unicode MS"/>
        </w:rPr>
        <w:fldChar w:fldCharType="end"/>
      </w:r>
      <w:r w:rsidR="000C5023">
        <w:rPr>
          <w:rFonts w:eastAsia="Arial Unicode MS"/>
        </w:rPr>
        <w:t>.</w:t>
      </w:r>
    </w:p>
    <w:p w14:paraId="1BA93C2D" w14:textId="77777777" w:rsidR="00C733D4" w:rsidRDefault="00C733D4" w:rsidP="00E436C5">
      <w:pPr>
        <w:pStyle w:val="Heading2Hdbk"/>
      </w:pPr>
      <w:bookmarkStart w:id="94" w:name="_8.2_Service_Order"/>
      <w:bookmarkStart w:id="95" w:name="_Ref451426878"/>
      <w:bookmarkStart w:id="96" w:name="_Ref451426897"/>
      <w:bookmarkStart w:id="97" w:name="_Toc12525471"/>
      <w:bookmarkStart w:id="98" w:name="_Toc498950272"/>
      <w:bookmarkStart w:id="99" w:name="_Toc107325303"/>
      <w:bookmarkEnd w:id="94"/>
      <w:r w:rsidRPr="00C733D4">
        <w:t>Order</w:t>
      </w:r>
      <w:r w:rsidR="006735AE">
        <w:t>ing</w:t>
      </w:r>
      <w:r w:rsidRPr="00C733D4">
        <w:t xml:space="preserve"> Process</w:t>
      </w:r>
      <w:bookmarkEnd w:id="95"/>
      <w:bookmarkEnd w:id="96"/>
      <w:bookmarkEnd w:id="97"/>
      <w:bookmarkEnd w:id="98"/>
      <w:bookmarkEnd w:id="99"/>
    </w:p>
    <w:p w14:paraId="46765161" w14:textId="55259FAF" w:rsidR="009B7B17" w:rsidRDefault="00C733D4" w:rsidP="009B7B17">
      <w:pPr>
        <w:rPr>
          <w:rFonts w:eastAsia="Arial Unicode MS"/>
        </w:rPr>
      </w:pPr>
      <w:r w:rsidRPr="00C733D4">
        <w:rPr>
          <w:rFonts w:eastAsia="Arial Unicode MS"/>
        </w:rPr>
        <w:t xml:space="preserve">Once the TO has been awarded, the agency orders </w:t>
      </w:r>
      <w:r w:rsidR="006735AE" w:rsidRPr="00C733D4">
        <w:rPr>
          <w:rFonts w:eastAsia="Arial Unicode MS"/>
        </w:rPr>
        <w:t xml:space="preserve">service </w:t>
      </w:r>
      <w:r w:rsidRPr="00C733D4">
        <w:rPr>
          <w:rFonts w:eastAsia="Arial Unicode MS"/>
        </w:rPr>
        <w:t xml:space="preserve">directly </w:t>
      </w:r>
      <w:r w:rsidR="006735AE">
        <w:rPr>
          <w:rFonts w:eastAsia="Arial Unicode MS"/>
        </w:rPr>
        <w:t>from</w:t>
      </w:r>
      <w:r w:rsidR="006735AE" w:rsidRPr="00C733D4">
        <w:rPr>
          <w:rFonts w:eastAsia="Arial Unicode MS"/>
        </w:rPr>
        <w:t xml:space="preserve"> </w:t>
      </w:r>
      <w:r w:rsidRPr="00C733D4">
        <w:rPr>
          <w:rFonts w:eastAsia="Arial Unicode MS"/>
        </w:rPr>
        <w:t>the selected EIS contractor, within the scope, prices, ceiling value, and terms and conditions of the OCO-awarded TO. The TO must identify the OCOs and CORs who have authority to order</w:t>
      </w:r>
      <w:r w:rsidR="006735AE" w:rsidRPr="006735AE">
        <w:rPr>
          <w:rFonts w:eastAsia="Arial Unicode MS"/>
        </w:rPr>
        <w:t xml:space="preserve"> </w:t>
      </w:r>
      <w:r w:rsidR="006735AE" w:rsidRPr="00C733D4">
        <w:rPr>
          <w:rFonts w:eastAsia="Arial Unicode MS"/>
        </w:rPr>
        <w:t>services</w:t>
      </w:r>
      <w:r w:rsidRPr="00C733D4">
        <w:rPr>
          <w:rFonts w:eastAsia="Arial Unicode MS"/>
        </w:rPr>
        <w:t>. The selected EIS contractor may consult with the agency to expedite the ordering process and to provide the tools needed to ensure that all orders are properly placed. The EIS contractors may also provide training to the agency on placing orders for their services.</w:t>
      </w:r>
      <w:r w:rsidR="009B7B17" w:rsidRPr="009B7B17">
        <w:rPr>
          <w:rFonts w:eastAsia="Arial Unicode MS"/>
        </w:rPr>
        <w:t xml:space="preserve"> </w:t>
      </w:r>
    </w:p>
    <w:p w14:paraId="441CD792" w14:textId="77777777" w:rsidR="009B7B17" w:rsidRDefault="009B7B17" w:rsidP="009B7B17">
      <w:pPr>
        <w:rPr>
          <w:rFonts w:eastAsia="Arial Unicode MS"/>
        </w:rPr>
      </w:pPr>
    </w:p>
    <w:p w14:paraId="2186D402" w14:textId="1F6BD751" w:rsidR="009B7B17" w:rsidRDefault="009B7B17" w:rsidP="009B7B17">
      <w:pPr>
        <w:rPr>
          <w:rFonts w:eastAsia="Arial Unicode MS"/>
        </w:rPr>
      </w:pPr>
      <w:r>
        <w:rPr>
          <w:rFonts w:eastAsia="Arial Unicode MS"/>
        </w:rPr>
        <w:t>During the ordering process, agencies should be mindful of lessons learned from previous transitions</w:t>
      </w:r>
      <w:r w:rsidR="00EC32A5">
        <w:rPr>
          <w:rFonts w:eastAsia="Arial Unicode MS"/>
        </w:rPr>
        <w:t xml:space="preserve">:  </w:t>
      </w:r>
    </w:p>
    <w:p w14:paraId="4C800DA5" w14:textId="77777777" w:rsidR="009B7B17" w:rsidRPr="00D64D90" w:rsidRDefault="009B7B17" w:rsidP="00E436C5">
      <w:pPr>
        <w:pStyle w:val="ListParagraph"/>
        <w:numPr>
          <w:ilvl w:val="0"/>
          <w:numId w:val="40"/>
        </w:numPr>
        <w:spacing w:before="120"/>
        <w:rPr>
          <w:rFonts w:eastAsia="Arial Unicode MS"/>
        </w:rPr>
      </w:pPr>
      <w:r w:rsidRPr="009B7B17">
        <w:rPr>
          <w:rFonts w:eastAsia="Arial Unicode MS"/>
        </w:rPr>
        <w:t>Do not assume a back office transition will be easier than chang</w:t>
      </w:r>
      <w:r w:rsidRPr="00C2201F">
        <w:rPr>
          <w:rFonts w:eastAsia="Arial Unicode MS"/>
        </w:rPr>
        <w:t>ing contractors</w:t>
      </w:r>
      <w:r w:rsidR="006D5739">
        <w:rPr>
          <w:rFonts w:eastAsia="Arial Unicode MS"/>
        </w:rPr>
        <w:t xml:space="preserve"> or will not be service-affecting</w:t>
      </w:r>
      <w:r w:rsidRPr="007B2419">
        <w:rPr>
          <w:rFonts w:eastAsia="Arial Unicode MS"/>
        </w:rPr>
        <w:t>; many of the same transition activities</w:t>
      </w:r>
      <w:r w:rsidRPr="00D64D90">
        <w:rPr>
          <w:rFonts w:eastAsia="Arial Unicode MS"/>
        </w:rPr>
        <w:t xml:space="preserve"> still need to be completed  </w:t>
      </w:r>
    </w:p>
    <w:p w14:paraId="67984044" w14:textId="77777777" w:rsidR="00C733D4" w:rsidRPr="009B7B17" w:rsidRDefault="009B7B17" w:rsidP="000567A5">
      <w:pPr>
        <w:pStyle w:val="ListParagraph"/>
        <w:numPr>
          <w:ilvl w:val="0"/>
          <w:numId w:val="40"/>
        </w:numPr>
        <w:rPr>
          <w:rFonts w:eastAsia="Arial Unicode MS"/>
        </w:rPr>
      </w:pPr>
      <w:r w:rsidRPr="009B7B17">
        <w:rPr>
          <w:rFonts w:eastAsia="Arial Unicode MS"/>
        </w:rPr>
        <w:t>If a selected solution requires the contractor to modify the EIS contract, t</w:t>
      </w:r>
      <w:r w:rsidR="00C2201F">
        <w:rPr>
          <w:rFonts w:eastAsia="Arial Unicode MS"/>
        </w:rPr>
        <w:t>hat modification will take time</w:t>
      </w:r>
    </w:p>
    <w:p w14:paraId="56E65BED" w14:textId="77777777" w:rsidR="006D5739" w:rsidRDefault="009B7B17" w:rsidP="000567A5">
      <w:pPr>
        <w:pStyle w:val="ListParagraph"/>
        <w:numPr>
          <w:ilvl w:val="0"/>
          <w:numId w:val="40"/>
        </w:numPr>
        <w:rPr>
          <w:rFonts w:eastAsia="Arial Unicode MS"/>
        </w:rPr>
      </w:pPr>
      <w:r w:rsidRPr="009B7B17">
        <w:rPr>
          <w:rFonts w:eastAsia="Arial Unicode MS"/>
        </w:rPr>
        <w:t>Replacing equipment requires close coordination to ensure the new equipment is available and acceptable so as not to introduce delays</w:t>
      </w:r>
    </w:p>
    <w:p w14:paraId="5E616A2A" w14:textId="4BBC9BDB" w:rsidR="009B7B17" w:rsidRPr="006D5739" w:rsidRDefault="006D5739" w:rsidP="000567A5">
      <w:pPr>
        <w:pStyle w:val="ListParagraph"/>
        <w:numPr>
          <w:ilvl w:val="0"/>
          <w:numId w:val="40"/>
        </w:numPr>
        <w:rPr>
          <w:rFonts w:eastAsia="Arial Unicode MS"/>
        </w:rPr>
      </w:pPr>
      <w:r>
        <w:rPr>
          <w:rFonts w:eastAsia="Arial Unicode MS"/>
        </w:rPr>
        <w:t xml:space="preserve">Different contractors and service providers may use different physical addresses for the demarcation of service delivery; the agency may have to provide the address as well as </w:t>
      </w:r>
      <w:r w:rsidR="0003562C">
        <w:rPr>
          <w:rFonts w:eastAsia="Arial Unicode MS"/>
        </w:rPr>
        <w:t>LAT/LON</w:t>
      </w:r>
      <w:r w:rsidR="00EC32A5">
        <w:rPr>
          <w:rFonts w:eastAsia="Arial Unicode MS"/>
        </w:rPr>
        <w:t>G</w:t>
      </w:r>
      <w:r w:rsidR="0003562C">
        <w:rPr>
          <w:rFonts w:eastAsia="Arial Unicode MS"/>
        </w:rPr>
        <w:t xml:space="preserve"> </w:t>
      </w:r>
      <w:r>
        <w:rPr>
          <w:rFonts w:eastAsia="Arial Unicode MS"/>
        </w:rPr>
        <w:t>coordinates and ensure the contractor is able to identify the correct demarcation</w:t>
      </w:r>
      <w:r w:rsidR="0003562C">
        <w:rPr>
          <w:rFonts w:eastAsia="Arial Unicode MS"/>
        </w:rPr>
        <w:t xml:space="preserve"> prior to dispatching to the location</w:t>
      </w:r>
      <w:r w:rsidR="009B7B17" w:rsidRPr="006D5739">
        <w:rPr>
          <w:rFonts w:eastAsia="Arial Unicode MS"/>
        </w:rPr>
        <w:t>.</w:t>
      </w:r>
    </w:p>
    <w:p w14:paraId="5A32A9A5" w14:textId="77777777" w:rsidR="00C73E1E" w:rsidRDefault="00C73E1E" w:rsidP="00E436C5">
      <w:pPr>
        <w:pStyle w:val="Heading2Hdbk"/>
      </w:pPr>
      <w:bookmarkStart w:id="100" w:name="_Toc12525472"/>
      <w:bookmarkStart w:id="101" w:name="_Toc498950273"/>
      <w:bookmarkStart w:id="102" w:name="_Toc107325304"/>
      <w:r>
        <w:t>Service Implementation</w:t>
      </w:r>
      <w:bookmarkEnd w:id="100"/>
      <w:bookmarkEnd w:id="101"/>
      <w:bookmarkEnd w:id="102"/>
    </w:p>
    <w:p w14:paraId="64A2F75B" w14:textId="77777777" w:rsidR="00C73E1E" w:rsidRDefault="00C73E1E" w:rsidP="0097702B">
      <w:r>
        <w:t>D</w:t>
      </w:r>
      <w:r w:rsidRPr="00C73E1E">
        <w:t xml:space="preserve">elays </w:t>
      </w:r>
      <w:r>
        <w:t>in service implementation can</w:t>
      </w:r>
      <w:r w:rsidRPr="00C73E1E">
        <w:t xml:space="preserve"> be </w:t>
      </w:r>
      <w:r>
        <w:t>reduced</w:t>
      </w:r>
      <w:r w:rsidRPr="00C73E1E">
        <w:t xml:space="preserve"> </w:t>
      </w:r>
      <w:r>
        <w:t xml:space="preserve">by incorporating the following lessons </w:t>
      </w:r>
      <w:r>
        <w:lastRenderedPageBreak/>
        <w:t>learned:</w:t>
      </w:r>
    </w:p>
    <w:p w14:paraId="5AF844C9" w14:textId="072FF0A2" w:rsidR="00C73E1E" w:rsidRDefault="00C73E1E" w:rsidP="00E436C5">
      <w:pPr>
        <w:pStyle w:val="ListParagraph"/>
        <w:numPr>
          <w:ilvl w:val="0"/>
          <w:numId w:val="41"/>
        </w:numPr>
        <w:spacing w:before="120"/>
      </w:pPr>
      <w:r>
        <w:t xml:space="preserve">Before approving an implementation plan </w:t>
      </w:r>
      <w:r w:rsidRPr="00C73E1E">
        <w:t>or site survey</w:t>
      </w:r>
      <w:r>
        <w:t xml:space="preserve">, ensure </w:t>
      </w:r>
      <w:r w:rsidRPr="00C73E1E">
        <w:t xml:space="preserve">services </w:t>
      </w:r>
      <w:r>
        <w:t xml:space="preserve">meet the agency’s technical and </w:t>
      </w:r>
      <w:r w:rsidRPr="00C73E1E">
        <w:t>operat</w:t>
      </w:r>
      <w:r>
        <w:t>ional requirements</w:t>
      </w:r>
      <w:r w:rsidR="005B3FB3">
        <w:t>;</w:t>
      </w:r>
      <w:r>
        <w:t xml:space="preserve"> for example</w:t>
      </w:r>
      <w:r w:rsidR="005B3FB3">
        <w:t>,</w:t>
      </w:r>
      <w:r w:rsidRPr="00C73E1E">
        <w:t xml:space="preserve"> all 800 numbers </w:t>
      </w:r>
      <w:r>
        <w:t>should be</w:t>
      </w:r>
      <w:r w:rsidRPr="00C73E1E">
        <w:t xml:space="preserve"> included in </w:t>
      </w:r>
      <w:r>
        <w:t xml:space="preserve">the </w:t>
      </w:r>
      <w:r w:rsidRPr="00C73E1E">
        <w:t>site survey</w:t>
      </w:r>
    </w:p>
    <w:p w14:paraId="0173ADFD" w14:textId="77777777" w:rsidR="00C73E1E" w:rsidRDefault="00C73E1E" w:rsidP="000567A5">
      <w:pPr>
        <w:pStyle w:val="ListParagraph"/>
        <w:numPr>
          <w:ilvl w:val="0"/>
          <w:numId w:val="41"/>
        </w:numPr>
      </w:pPr>
      <w:r w:rsidRPr="00C73E1E">
        <w:t xml:space="preserve">Advise </w:t>
      </w:r>
      <w:r>
        <w:t>contractor</w:t>
      </w:r>
      <w:r w:rsidRPr="00C73E1E">
        <w:t xml:space="preserve"> of any special access requirements for the site</w:t>
      </w:r>
    </w:p>
    <w:p w14:paraId="4DE663A7" w14:textId="552F1ECA" w:rsidR="00C73E1E" w:rsidRDefault="00C73E1E" w:rsidP="000567A5">
      <w:pPr>
        <w:pStyle w:val="ListParagraph"/>
        <w:numPr>
          <w:ilvl w:val="0"/>
          <w:numId w:val="41"/>
        </w:numPr>
      </w:pPr>
      <w:r w:rsidRPr="00C73E1E">
        <w:t xml:space="preserve">Make arrangements for </w:t>
      </w:r>
      <w:r>
        <w:t>the contractor’s</w:t>
      </w:r>
      <w:r w:rsidRPr="00C73E1E">
        <w:t xml:space="preserve"> technicians </w:t>
      </w:r>
      <w:r>
        <w:t>to access</w:t>
      </w:r>
      <w:r w:rsidRPr="00C73E1E">
        <w:t xml:space="preserve"> </w:t>
      </w:r>
      <w:r>
        <w:t xml:space="preserve">the </w:t>
      </w:r>
      <w:r w:rsidRPr="00C73E1E">
        <w:t xml:space="preserve">site </w:t>
      </w:r>
      <w:r>
        <w:t>and</w:t>
      </w:r>
      <w:r w:rsidRPr="00C73E1E">
        <w:t xml:space="preserve"> avoid unnecessary ‘turn</w:t>
      </w:r>
      <w:r w:rsidR="005B3FB3">
        <w:t>-</w:t>
      </w:r>
      <w:r w:rsidR="005B3FB3" w:rsidRPr="00C73E1E">
        <w:t>away</w:t>
      </w:r>
      <w:r w:rsidR="005B3FB3">
        <w:t>s</w:t>
      </w:r>
      <w:r w:rsidRPr="00C73E1E">
        <w:t>’</w:t>
      </w:r>
    </w:p>
    <w:p w14:paraId="1A89E5F9" w14:textId="77777777" w:rsidR="00C73E1E" w:rsidRDefault="00C73E1E" w:rsidP="000567A5">
      <w:pPr>
        <w:pStyle w:val="ListParagraph"/>
        <w:numPr>
          <w:ilvl w:val="0"/>
          <w:numId w:val="41"/>
        </w:numPr>
      </w:pPr>
      <w:r w:rsidRPr="00C73E1E">
        <w:t xml:space="preserve">Ensure </w:t>
      </w:r>
      <w:r>
        <w:t>local contacts</w:t>
      </w:r>
      <w:r w:rsidRPr="00C73E1E">
        <w:t xml:space="preserve"> understand the plan for their site including the type of cutover (parallel, managed, or coordinated) planned</w:t>
      </w:r>
    </w:p>
    <w:p w14:paraId="37483A67" w14:textId="77777777" w:rsidR="00C73E1E" w:rsidRDefault="00C73E1E" w:rsidP="000567A5">
      <w:pPr>
        <w:pStyle w:val="ListParagraph"/>
        <w:numPr>
          <w:ilvl w:val="0"/>
          <w:numId w:val="41"/>
        </w:numPr>
      </w:pPr>
      <w:r w:rsidRPr="00C73E1E">
        <w:t>Have material/equipment installed and ready on scheduled cutover date (</w:t>
      </w:r>
      <w:r>
        <w:t>for example</w:t>
      </w:r>
      <w:r w:rsidRPr="00C73E1E">
        <w:t xml:space="preserve"> cabling, inside wiring, </w:t>
      </w:r>
      <w:r w:rsidR="00DD2939">
        <w:t>Private Branch Exchange (</w:t>
      </w:r>
      <w:r w:rsidRPr="00C73E1E">
        <w:t>PBX</w:t>
      </w:r>
      <w:r w:rsidR="00DD2939">
        <w:t>)</w:t>
      </w:r>
      <w:r w:rsidRPr="00C73E1E">
        <w:t xml:space="preserve"> cards, or other </w:t>
      </w:r>
      <w:r w:rsidR="00DD2939">
        <w:t>Government Furnished Equipment (</w:t>
      </w:r>
      <w:r w:rsidRPr="00C73E1E">
        <w:t>GFE)</w:t>
      </w:r>
    </w:p>
    <w:p w14:paraId="28363F9C" w14:textId="77777777" w:rsidR="00E405D0" w:rsidRDefault="00C73E1E" w:rsidP="000567A5">
      <w:pPr>
        <w:pStyle w:val="ListParagraph"/>
        <w:numPr>
          <w:ilvl w:val="0"/>
          <w:numId w:val="41"/>
        </w:numPr>
      </w:pPr>
      <w:r>
        <w:t>H</w:t>
      </w:r>
      <w:r w:rsidRPr="00C73E1E">
        <w:t xml:space="preserve">ave needed technicians </w:t>
      </w:r>
      <w:r>
        <w:t>and local vendors—such as PBX vendors—o</w:t>
      </w:r>
      <w:r w:rsidRPr="00C73E1E">
        <w:t xml:space="preserve">n hand </w:t>
      </w:r>
      <w:r>
        <w:t>for both pre-test and cutover</w:t>
      </w:r>
      <w:r w:rsidRPr="00C73E1E">
        <w:t>.</w:t>
      </w:r>
    </w:p>
    <w:p w14:paraId="68F55D0E" w14:textId="33431395" w:rsidR="00C73E1E" w:rsidRPr="00C73E1E" w:rsidRDefault="00E405D0" w:rsidP="00774C8C">
      <w:pPr>
        <w:spacing w:before="120"/>
      </w:pPr>
      <w:r>
        <w:t xml:space="preserve">Reference Appendix G for cutover </w:t>
      </w:r>
      <w:r w:rsidRPr="008B58E1">
        <w:t xml:space="preserve">guidance to assist with planning </w:t>
      </w:r>
      <w:r>
        <w:t xml:space="preserve">the </w:t>
      </w:r>
      <w:r w:rsidRPr="008B58E1">
        <w:t>transition of services to EIS.</w:t>
      </w:r>
    </w:p>
    <w:p w14:paraId="27FFC18C" w14:textId="77777777" w:rsidR="00C733D4" w:rsidRDefault="00C733D4" w:rsidP="00E436C5">
      <w:pPr>
        <w:pStyle w:val="Heading2Hdbk"/>
      </w:pPr>
      <w:bookmarkStart w:id="103" w:name="_Toc12525473"/>
      <w:bookmarkStart w:id="104" w:name="_Toc498950274"/>
      <w:bookmarkStart w:id="105" w:name="_Toc107325305"/>
      <w:r w:rsidRPr="00C733D4">
        <w:t>Transition Tracking and Reporting</w:t>
      </w:r>
      <w:bookmarkEnd w:id="103"/>
      <w:bookmarkEnd w:id="104"/>
      <w:bookmarkEnd w:id="105"/>
    </w:p>
    <w:p w14:paraId="19B0DB13" w14:textId="307E7004" w:rsidR="00C733D4" w:rsidRPr="00C733D4" w:rsidRDefault="00C733D4" w:rsidP="002466A5">
      <w:r w:rsidRPr="00C733D4">
        <w:t xml:space="preserve">GSA tracks transition across the government and reports the progress of activities to ensure transition occurs on schedule. GSA’s TCC uses tracking data to analyze trends to identify problems with a specific contractor, a certain service, or an agency in need of transition assistance and to formulate resolutions proactively. Tracking and reporting EIS transition status enables the EIS PMO, GSA senior management, agencies, and the contractors to forecast the complexity and duration of transition for financial and human resource planning. It also allows decision-makers to track progress against the impending expiration of the Networx, WITS 3, and </w:t>
      </w:r>
      <w:r w:rsidR="008C4A5F">
        <w:t xml:space="preserve">GSA </w:t>
      </w:r>
      <w:r w:rsidR="00754B25">
        <w:t>Regional local service</w:t>
      </w:r>
      <w:r w:rsidRPr="00C733D4">
        <w:t xml:space="preserve"> contracts and take action if needed. </w:t>
      </w:r>
    </w:p>
    <w:p w14:paraId="30D118C2" w14:textId="77777777" w:rsidR="00FD359E" w:rsidRDefault="00FD359E" w:rsidP="002466A5"/>
    <w:p w14:paraId="60AF8E6F" w14:textId="77777777" w:rsidR="00C733D4" w:rsidRPr="00C733D4" w:rsidRDefault="00C733D4" w:rsidP="002466A5">
      <w:r w:rsidRPr="00C733D4">
        <w:t>GSA’s tracking of EIS transition progress employs three methods of data collection and analysis:</w:t>
      </w:r>
    </w:p>
    <w:p w14:paraId="49F82EDC" w14:textId="77777777" w:rsidR="00C733D4" w:rsidRPr="00C733D4" w:rsidRDefault="00C733D4" w:rsidP="00E436C5">
      <w:pPr>
        <w:pStyle w:val="ListParagraph"/>
        <w:numPr>
          <w:ilvl w:val="0"/>
          <w:numId w:val="34"/>
        </w:numPr>
        <w:spacing w:before="120"/>
      </w:pPr>
      <w:r w:rsidRPr="00C733D4">
        <w:t>Record agency decisions and plans that indicate an agency’s readiness for transition</w:t>
      </w:r>
    </w:p>
    <w:p w14:paraId="512A9566" w14:textId="71EB81FA" w:rsidR="00C733D4" w:rsidRPr="00C733D4" w:rsidRDefault="00C733D4" w:rsidP="000567A5">
      <w:pPr>
        <w:pStyle w:val="ListParagraph"/>
        <w:numPr>
          <w:ilvl w:val="0"/>
          <w:numId w:val="34"/>
        </w:numPr>
      </w:pPr>
      <w:r w:rsidRPr="00C733D4">
        <w:t xml:space="preserve">Measure the extent to which services are being implemented on EIS contracts and are being disconnected from expiring Networx, WITS 3, and </w:t>
      </w:r>
      <w:r w:rsidR="008C4A5F">
        <w:t xml:space="preserve">GSA </w:t>
      </w:r>
      <w:r w:rsidR="00754B25">
        <w:t>Regional local service</w:t>
      </w:r>
      <w:r w:rsidRPr="00C733D4">
        <w:t xml:space="preserve"> contracts</w:t>
      </w:r>
    </w:p>
    <w:p w14:paraId="69B23DF9" w14:textId="1776B4CF" w:rsidR="00C733D4" w:rsidRPr="00C733D4" w:rsidRDefault="00C733D4" w:rsidP="000567A5">
      <w:pPr>
        <w:pStyle w:val="ListParagraph"/>
        <w:numPr>
          <w:ilvl w:val="0"/>
          <w:numId w:val="34"/>
        </w:numPr>
      </w:pPr>
      <w:r w:rsidRPr="00C733D4">
        <w:t>Inspect reports to identify major or chronic issues or negative trends.</w:t>
      </w:r>
    </w:p>
    <w:p w14:paraId="76006414" w14:textId="77777777" w:rsidR="005A1C2A" w:rsidRDefault="005A1C2A" w:rsidP="002466A5"/>
    <w:p w14:paraId="080C3F51" w14:textId="620EEC49" w:rsidR="00C733D4" w:rsidRPr="00C733D4" w:rsidRDefault="00C733D4" w:rsidP="002466A5">
      <w:r w:rsidRPr="00C733D4">
        <w:t xml:space="preserve">Measures and tools to track transition progress </w:t>
      </w:r>
      <w:r w:rsidR="00C07F17">
        <w:t>have been developed and will be refined as needed</w:t>
      </w:r>
      <w:r w:rsidRPr="00C733D4">
        <w:t xml:space="preserve">. They </w:t>
      </w:r>
      <w:r w:rsidR="00C07F17">
        <w:t>currently</w:t>
      </w:r>
      <w:r w:rsidRPr="00C733D4">
        <w:t xml:space="preserve"> include measures of the rate of disconnected services from Networx</w:t>
      </w:r>
      <w:r w:rsidR="005F2174">
        <w:t>, WITS</w:t>
      </w:r>
      <w:r w:rsidR="00EC32A5">
        <w:t xml:space="preserve"> </w:t>
      </w:r>
      <w:r w:rsidR="005F2174">
        <w:t>3 and Regional local service contracts as well as</w:t>
      </w:r>
      <w:r w:rsidR="005F2174" w:rsidRPr="00C733D4">
        <w:t xml:space="preserve"> </w:t>
      </w:r>
      <w:r w:rsidRPr="00C733D4">
        <w:t>the growth of business on the EIS contracts.</w:t>
      </w:r>
      <w:r w:rsidR="00C07F17">
        <w:t xml:space="preserve"> </w:t>
      </w:r>
      <w:r w:rsidR="008626CD">
        <w:t>See Appendix D for a</w:t>
      </w:r>
      <w:r w:rsidR="00C07F17">
        <w:t xml:space="preserve"> sample dashboard report for large and medium agencies.</w:t>
      </w:r>
    </w:p>
    <w:p w14:paraId="58E5B734" w14:textId="77777777" w:rsidR="00C733D4" w:rsidRDefault="0098097A" w:rsidP="00E436C5">
      <w:pPr>
        <w:pStyle w:val="Heading2Hdbk"/>
      </w:pPr>
      <w:bookmarkStart w:id="106" w:name="_Toc12525474"/>
      <w:bookmarkStart w:id="107" w:name="_Toc498950275"/>
      <w:bookmarkStart w:id="108" w:name="_Toc107325306"/>
      <w:r>
        <w:lastRenderedPageBreak/>
        <w:t xml:space="preserve">Stakeholder </w:t>
      </w:r>
      <w:r w:rsidR="00C733D4" w:rsidRPr="00C733D4">
        <w:t>Communications for Transition</w:t>
      </w:r>
      <w:bookmarkEnd w:id="106"/>
      <w:bookmarkEnd w:id="107"/>
      <w:bookmarkEnd w:id="108"/>
    </w:p>
    <w:p w14:paraId="7FB2293E" w14:textId="718B88E7" w:rsidR="00C733D4" w:rsidRPr="00C733D4" w:rsidRDefault="00C733D4" w:rsidP="002466A5">
      <w:r w:rsidRPr="00C733D4">
        <w:t>Communications</w:t>
      </w:r>
      <w:r w:rsidR="0098097A">
        <w:t xml:space="preserve"> with stakeholders</w:t>
      </w:r>
      <w:r w:rsidRPr="00C733D4">
        <w:t xml:space="preserve"> play a critical role in the successful transition of an agency’s telecommunications services. Several methods of communication have been established to assist agencies with communications throughout transition. These methods include:</w:t>
      </w:r>
    </w:p>
    <w:p w14:paraId="70E52A2E" w14:textId="73B64D50" w:rsidR="00C733D4" w:rsidRDefault="00E06C5C" w:rsidP="00E436C5">
      <w:pPr>
        <w:pStyle w:val="ListParagraph"/>
        <w:numPr>
          <w:ilvl w:val="0"/>
          <w:numId w:val="35"/>
        </w:numPr>
        <w:spacing w:before="120"/>
      </w:pPr>
      <w:r w:rsidRPr="00E06C5C">
        <w:t xml:space="preserve">Infrastructure </w:t>
      </w:r>
      <w:r w:rsidR="00C733D4" w:rsidRPr="00C733D4">
        <w:t>Advisory Group (IAG)</w:t>
      </w:r>
    </w:p>
    <w:p w14:paraId="22900DE4" w14:textId="754D971B" w:rsidR="00C733D4" w:rsidRDefault="00C733D4" w:rsidP="000567A5">
      <w:pPr>
        <w:pStyle w:val="ListParagraph"/>
        <w:numPr>
          <w:ilvl w:val="0"/>
          <w:numId w:val="35"/>
        </w:numPr>
      </w:pPr>
      <w:r w:rsidRPr="00C733D4">
        <w:t>Help Desk</w:t>
      </w:r>
    </w:p>
    <w:p w14:paraId="7D7A014D" w14:textId="77777777" w:rsidR="00447575" w:rsidRDefault="00C733D4" w:rsidP="000567A5">
      <w:pPr>
        <w:pStyle w:val="ListParagraph"/>
        <w:numPr>
          <w:ilvl w:val="0"/>
          <w:numId w:val="35"/>
        </w:numPr>
      </w:pPr>
      <w:r w:rsidRPr="00C733D4">
        <w:t>EIS Transition websites</w:t>
      </w:r>
    </w:p>
    <w:p w14:paraId="0B719BF4" w14:textId="6F6BAACC" w:rsidR="00C733D4" w:rsidRPr="00C733D4" w:rsidRDefault="00447575" w:rsidP="000567A5">
      <w:pPr>
        <w:pStyle w:val="ListParagraph"/>
        <w:numPr>
          <w:ilvl w:val="0"/>
          <w:numId w:val="35"/>
        </w:numPr>
      </w:pPr>
      <w:r>
        <w:t>EIS Bulletins</w:t>
      </w:r>
      <w:r w:rsidR="003C7E8A">
        <w:t>.</w:t>
      </w:r>
    </w:p>
    <w:p w14:paraId="207894FE" w14:textId="0CD5624B" w:rsidR="0060463B" w:rsidRPr="00E436C5" w:rsidRDefault="00861E20" w:rsidP="00E436C5">
      <w:pPr>
        <w:pStyle w:val="Heading3Hdbk"/>
      </w:pPr>
      <w:bookmarkStart w:id="109" w:name="_Toc12525475"/>
      <w:bookmarkStart w:id="110" w:name="_Toc498950276"/>
      <w:bookmarkStart w:id="111" w:name="_Toc107325307"/>
      <w:r>
        <w:t>Infrastructure Advisory Group</w:t>
      </w:r>
      <w:bookmarkEnd w:id="109"/>
      <w:bookmarkEnd w:id="110"/>
      <w:bookmarkEnd w:id="111"/>
    </w:p>
    <w:p w14:paraId="4CF89456" w14:textId="3E4FCAFF" w:rsidR="0060463B" w:rsidRPr="0060463B" w:rsidRDefault="0060463B" w:rsidP="002466A5">
      <w:r w:rsidRPr="0060463B">
        <w:t>The IAG provides guidance to GSA on its IT and telecommunications programs. It assists with developing a consensus on common issues that affect multiple agencies; as such it will attend to the development of new GSA contracts. The IAG promotes collective government planning related to the transition to the EIS contracts.</w:t>
      </w:r>
    </w:p>
    <w:p w14:paraId="775F8CB1" w14:textId="77777777" w:rsidR="0060463B" w:rsidRPr="00E436C5" w:rsidRDefault="0060463B" w:rsidP="00E436C5">
      <w:pPr>
        <w:pStyle w:val="Heading3Hdbk"/>
      </w:pPr>
      <w:bookmarkStart w:id="112" w:name="_Toc12525476"/>
      <w:bookmarkStart w:id="113" w:name="_Toc498950277"/>
      <w:bookmarkStart w:id="114" w:name="_Toc107325308"/>
      <w:r w:rsidRPr="0060463B">
        <w:t>Help Desk</w:t>
      </w:r>
      <w:bookmarkEnd w:id="112"/>
      <w:bookmarkEnd w:id="113"/>
      <w:bookmarkEnd w:id="114"/>
    </w:p>
    <w:p w14:paraId="27A56042" w14:textId="1ED88CC8" w:rsidR="0060463B" w:rsidRPr="0060463B" w:rsidRDefault="0060463B" w:rsidP="002466A5">
      <w:r w:rsidRPr="0060463B">
        <w:rPr>
          <w:noProof/>
        </w:rPr>
        <w:t>GSA’s</w:t>
      </w:r>
      <w:r w:rsidRPr="0060463B">
        <w:t xml:space="preserve"> IT Customer Service Center (ITCSC) is available to agency customers and contractors to </w:t>
      </w:r>
      <w:r w:rsidRPr="0060463B">
        <w:rPr>
          <w:noProof/>
        </w:rPr>
        <mc:AlternateContent>
          <mc:Choice Requires="wps">
            <w:drawing>
              <wp:anchor distT="0" distB="0" distL="114300" distR="114300" simplePos="0" relativeHeight="251658752" behindDoc="0" locked="1" layoutInCell="1" allowOverlap="1" wp14:anchorId="4798915B" wp14:editId="1F17ACE4">
                <wp:simplePos x="0" y="0"/>
                <wp:positionH relativeFrom="margin">
                  <wp:posOffset>4171950</wp:posOffset>
                </wp:positionH>
                <wp:positionV relativeFrom="paragraph">
                  <wp:posOffset>45085</wp:posOffset>
                </wp:positionV>
                <wp:extent cx="1762125" cy="1304925"/>
                <wp:effectExtent l="0" t="0" r="9525" b="9525"/>
                <wp:wrapSquare wrapText="bothSides"/>
                <wp:docPr id="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304925"/>
                        </a:xfrm>
                        <a:prstGeom prst="rect">
                          <a:avLst/>
                        </a:prstGeom>
                        <a:solidFill>
                          <a:srgbClr val="DEDE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32A345" w14:textId="77777777" w:rsidR="00E436C5" w:rsidRPr="00776AC2" w:rsidRDefault="00E436C5" w:rsidP="00FD359E">
                            <w:pPr>
                              <w:pStyle w:val="DistributionList2"/>
                              <w:jc w:val="left"/>
                              <w:rPr>
                                <w:b/>
                                <w:i/>
                                <w:szCs w:val="24"/>
                              </w:rPr>
                            </w:pPr>
                            <w:r w:rsidRPr="00776AC2">
                              <w:rPr>
                                <w:b/>
                                <w:i/>
                                <w:szCs w:val="24"/>
                              </w:rPr>
                              <w:t>Help Desk</w:t>
                            </w:r>
                          </w:p>
                          <w:p w14:paraId="19AE460A" w14:textId="672D8832" w:rsidR="00E436C5" w:rsidRPr="00296FF0" w:rsidRDefault="00E436C5" w:rsidP="00FD359E">
                            <w:pPr>
                              <w:jc w:val="left"/>
                            </w:pPr>
                            <w:r w:rsidRPr="00296FF0">
                              <w:t xml:space="preserve">For assistance, contact your </w:t>
                            </w:r>
                            <w:r w:rsidR="00276088">
                              <w:t xml:space="preserve">SB </w:t>
                            </w:r>
                            <w:r>
                              <w:t>(gsa.gov/nspsupport)</w:t>
                            </w:r>
                            <w:r w:rsidRPr="00296FF0">
                              <w:t xml:space="preserve"> or the IT Customer Service Center (855) 482-4348, ITCSC@gsa.gov</w:t>
                            </w:r>
                          </w:p>
                          <w:p w14:paraId="4DC1BB68" w14:textId="77777777" w:rsidR="00E436C5" w:rsidRPr="008A6A03" w:rsidRDefault="00E436C5" w:rsidP="002466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8915B" id="Text Box 106" o:spid="_x0000_s1027" type="#_x0000_t202" style="position:absolute;left:0;text-align:left;margin-left:328.5pt;margin-top:3.55pt;width:138.75pt;height:102.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" fillcolor="#dedede" stroked="f">
                <v:textbox>
                  <w:txbxContent>
                    <w:p w14:paraId="0832A345" w14:textId="77777777" w:rsidR="00E436C5" w:rsidRPr="00776AC2" w:rsidRDefault="00E436C5" w:rsidP="00FD359E">
                      <w:pPr>
                        <w:pStyle w:val="DistributionList2"/>
                        <w:jc w:val="left"/>
                        <w:rPr>
                          <w:b/>
                          <w:i/>
                          <w:szCs w:val="24"/>
                        </w:rPr>
                      </w:pPr>
                      <w:r w:rsidRPr="00776AC2">
                        <w:rPr>
                          <w:b/>
                          <w:i/>
                          <w:szCs w:val="24"/>
                        </w:rPr>
                        <w:t>Help Desk</w:t>
                      </w:r>
                    </w:p>
                    <w:p w14:paraId="19AE460A" w14:textId="672D8832" w:rsidR="00E436C5" w:rsidRPr="00296FF0" w:rsidRDefault="00E436C5" w:rsidP="00FD359E">
                      <w:pPr>
                        <w:jc w:val="left"/>
                      </w:pPr>
                      <w:r w:rsidRPr="00296FF0">
                        <w:t xml:space="preserve">For assistance, contact your </w:t>
                      </w:r>
                      <w:r w:rsidR="00276088">
                        <w:t xml:space="preserve">SB </w:t>
                      </w:r>
                      <w:r>
                        <w:t>(gsa.gov/nspsupport)</w:t>
                      </w:r>
                      <w:r w:rsidRPr="00296FF0">
                        <w:t xml:space="preserve"> or the IT Customer Service Center (855) 482-4348, ITCSC@gsa.gov</w:t>
                      </w:r>
                    </w:p>
                    <w:p w14:paraId="4DC1BB68" w14:textId="77777777" w:rsidR="00E436C5" w:rsidRPr="008A6A03" w:rsidRDefault="00E436C5" w:rsidP="002466A5"/>
                  </w:txbxContent>
                </v:textbox>
                <w10:wrap type="square" anchorx="margin"/>
                <w10:anchorlock/>
              </v:shape>
            </w:pict>
          </mc:Fallback>
        </mc:AlternateContent>
      </w:r>
      <w:r w:rsidRPr="0060463B">
        <w:t xml:space="preserve">help resolve issues and questions regarding transition. The ITCSC does not replace the EIS, Networx, WITS 3, or </w:t>
      </w:r>
      <w:r w:rsidR="008C4A5F">
        <w:t>GSA Regional local service</w:t>
      </w:r>
      <w:r w:rsidRPr="0060463B">
        <w:t xml:space="preserve"> contractors’ customer service or trouble management services. It is primarily a means for contacting the TCC and the GSA program team. Agencies can reach the ITCSC by </w:t>
      </w:r>
      <w:r w:rsidR="0009001C">
        <w:t>phone at</w:t>
      </w:r>
      <w:r w:rsidR="0009001C" w:rsidRPr="0060463B">
        <w:t xml:space="preserve"> </w:t>
      </w:r>
      <w:r w:rsidRPr="0060463B">
        <w:t xml:space="preserve">855-482-4348 or </w:t>
      </w:r>
      <w:r w:rsidR="0009001C">
        <w:t xml:space="preserve">by </w:t>
      </w:r>
      <w:r w:rsidRPr="0060463B">
        <w:t xml:space="preserve">email at </w:t>
      </w:r>
      <w:hyperlink r:id="rId27" w:history="1">
        <w:r w:rsidRPr="0060463B">
          <w:rPr>
            <w:rStyle w:val="Hyperlink"/>
          </w:rPr>
          <w:t>itcsc@gsa.gov</w:t>
        </w:r>
      </w:hyperlink>
      <w:r w:rsidRPr="0060463B">
        <w:t>.</w:t>
      </w:r>
    </w:p>
    <w:p w14:paraId="0E6A847E" w14:textId="77777777" w:rsidR="0060463B" w:rsidRPr="00E436C5" w:rsidRDefault="0060463B" w:rsidP="00E436C5">
      <w:pPr>
        <w:pStyle w:val="Heading3Hdbk"/>
      </w:pPr>
      <w:bookmarkStart w:id="115" w:name="_Toc12525477"/>
      <w:bookmarkStart w:id="116" w:name="_Toc498950278"/>
      <w:bookmarkStart w:id="117" w:name="_Toc107325309"/>
      <w:r w:rsidRPr="0060463B">
        <w:t>EIS Transition Website</w:t>
      </w:r>
      <w:bookmarkEnd w:id="115"/>
      <w:bookmarkEnd w:id="116"/>
      <w:bookmarkEnd w:id="117"/>
    </w:p>
    <w:p w14:paraId="4EF1641A" w14:textId="6E4EE30F" w:rsidR="000A1331" w:rsidRPr="00E436C5" w:rsidRDefault="0060463B" w:rsidP="002466A5">
      <w:pPr>
        <w:rPr>
          <w:b/>
          <w:color w:val="000000" w:themeColor="text1"/>
          <w:shd w:val="clear" w:color="auto" w:fill="FFFFFF"/>
        </w:rPr>
      </w:pPr>
      <w:bookmarkStart w:id="118" w:name="_Toc447793096"/>
      <w:bookmarkStart w:id="119" w:name="_Toc447793887"/>
      <w:bookmarkStart w:id="120" w:name="_Toc450224946"/>
      <w:bookmarkStart w:id="121" w:name="_Toc450225593"/>
      <w:r w:rsidRPr="00D67752">
        <w:t xml:space="preserve">The TCC </w:t>
      </w:r>
      <w:r w:rsidR="00123165">
        <w:t>stood up the EIS Transition website to communicate activities specific to transition at</w:t>
      </w:r>
      <w:r w:rsidRPr="00D67752">
        <w:t xml:space="preserve"> </w:t>
      </w:r>
      <w:hyperlink r:id="rId28" w:history="1">
        <w:r w:rsidR="00C07F17">
          <w:rPr>
            <w:rStyle w:val="Hyperlink"/>
          </w:rPr>
          <w:t>gsa.gov/eistransition</w:t>
        </w:r>
      </w:hyperlink>
      <w:r w:rsidR="00312432">
        <w:t xml:space="preserve"> </w:t>
      </w:r>
      <w:r w:rsidRPr="00D67752">
        <w:t xml:space="preserve">and </w:t>
      </w:r>
      <w:r w:rsidR="00123165">
        <w:t>continue</w:t>
      </w:r>
      <w:r w:rsidR="00985864">
        <w:t>s</w:t>
      </w:r>
      <w:r w:rsidR="00123165">
        <w:t xml:space="preserve"> to </w:t>
      </w:r>
      <w:r w:rsidRPr="00D67752">
        <w:t xml:space="preserve">manage </w:t>
      </w:r>
      <w:r w:rsidR="00123165">
        <w:t>this</w:t>
      </w:r>
      <w:r w:rsidRPr="00D67752">
        <w:t xml:space="preserve"> website within the GSA web infrastructure to support the transition to EIS. The transition website provide</w:t>
      </w:r>
      <w:r w:rsidR="00123165">
        <w:t>s</w:t>
      </w:r>
      <w:r w:rsidRPr="00D67752">
        <w:t xml:space="preserve"> transition guidance to federal agency customers and share</w:t>
      </w:r>
      <w:r w:rsidR="005F2174">
        <w:t>s</w:t>
      </w:r>
      <w:r w:rsidRPr="00D67752">
        <w:t xml:space="preserve"> transition status with the agencies and the general public. Tools on the website include a wide variety of support documents such as </w:t>
      </w:r>
      <w:r w:rsidR="00BB0AE5">
        <w:t>planning documents</w:t>
      </w:r>
      <w:r w:rsidRPr="00D67752">
        <w:t xml:space="preserve"> and guides; </w:t>
      </w:r>
      <w:r w:rsidR="00F30CED">
        <w:t xml:space="preserve">transition training courses, such as Instructor Led Trainings (ILTs), </w:t>
      </w:r>
      <w:r w:rsidR="008433DB">
        <w:t>self-paced eLearning</w:t>
      </w:r>
      <w:r w:rsidR="00F30CED">
        <w:t>,</w:t>
      </w:r>
      <w:r w:rsidR="008433DB">
        <w:t xml:space="preserve"> and recorded training sessions</w:t>
      </w:r>
      <w:r w:rsidRPr="00D67752">
        <w:t xml:space="preserve">; </w:t>
      </w:r>
      <w:r w:rsidR="000B2309">
        <w:t>Frequently Asked Questions (</w:t>
      </w:r>
      <w:r w:rsidRPr="00D67752">
        <w:t>FAQs</w:t>
      </w:r>
      <w:r w:rsidR="000B2309">
        <w:t>)</w:t>
      </w:r>
      <w:r w:rsidRPr="00D67752">
        <w:t xml:space="preserve"> and other basic resources; and, as appropriate, data on transition status. </w:t>
      </w:r>
      <w:r w:rsidR="00123165">
        <w:t>U</w:t>
      </w:r>
      <w:r w:rsidRPr="00D67752">
        <w:t xml:space="preserve">pdates on EIS and </w:t>
      </w:r>
      <w:r w:rsidR="00123165">
        <w:t>a link to the EIS Transition website</w:t>
      </w:r>
      <w:r w:rsidRPr="00D67752">
        <w:t xml:space="preserve"> </w:t>
      </w:r>
      <w:r w:rsidR="00BB0AE5">
        <w:t>are</w:t>
      </w:r>
      <w:r w:rsidR="00BB0AE5" w:rsidRPr="00D67752">
        <w:t xml:space="preserve"> </w:t>
      </w:r>
      <w:r w:rsidR="00123165">
        <w:t>also</w:t>
      </w:r>
      <w:r w:rsidRPr="00D67752">
        <w:t xml:space="preserve"> available on</w:t>
      </w:r>
      <w:r w:rsidRPr="0060463B">
        <w:rPr>
          <w:b/>
          <w:color w:val="000000" w:themeColor="text1"/>
          <w:shd w:val="clear" w:color="auto" w:fill="FFFFFF"/>
        </w:rPr>
        <w:t xml:space="preserve"> </w:t>
      </w:r>
      <w:hyperlink r:id="rId29" w:history="1">
        <w:r w:rsidRPr="004A2EAE">
          <w:rPr>
            <w:rStyle w:val="Hyperlink"/>
            <w:shd w:val="clear" w:color="auto" w:fill="FFFFFF"/>
          </w:rPr>
          <w:t>gsa.gov/eis</w:t>
        </w:r>
      </w:hyperlink>
      <w:r w:rsidRPr="0060463B">
        <w:rPr>
          <w:b/>
          <w:color w:val="000000" w:themeColor="text1"/>
          <w:shd w:val="clear" w:color="auto" w:fill="FFFFFF"/>
        </w:rPr>
        <w:t>.</w:t>
      </w:r>
      <w:bookmarkEnd w:id="118"/>
      <w:bookmarkEnd w:id="119"/>
      <w:bookmarkEnd w:id="120"/>
      <w:bookmarkEnd w:id="121"/>
    </w:p>
    <w:p w14:paraId="7C85F333" w14:textId="2C5B6E9F" w:rsidR="000A1331" w:rsidRPr="00774C8C" w:rsidRDefault="000A1331" w:rsidP="00774C8C">
      <w:pPr>
        <w:pStyle w:val="Heading3Hdbk"/>
      </w:pPr>
      <w:bookmarkStart w:id="122" w:name="_Toc12286132"/>
      <w:bookmarkStart w:id="123" w:name="_Toc12286215"/>
      <w:bookmarkStart w:id="124" w:name="_Toc12286312"/>
      <w:bookmarkStart w:id="125" w:name="_Toc12286396"/>
      <w:bookmarkStart w:id="126" w:name="_Toc12525478"/>
      <w:bookmarkStart w:id="127" w:name="_Toc12525479"/>
      <w:bookmarkStart w:id="128" w:name="_Toc107325310"/>
      <w:bookmarkEnd w:id="122"/>
      <w:bookmarkEnd w:id="123"/>
      <w:bookmarkEnd w:id="124"/>
      <w:bookmarkEnd w:id="125"/>
      <w:bookmarkEnd w:id="126"/>
      <w:r w:rsidRPr="00774C8C">
        <w:t>EIS Bulletins</w:t>
      </w:r>
      <w:bookmarkEnd w:id="127"/>
      <w:bookmarkEnd w:id="128"/>
    </w:p>
    <w:p w14:paraId="27699850" w14:textId="32B2D0C2" w:rsidR="0060463B" w:rsidRPr="00447575" w:rsidRDefault="000A1331" w:rsidP="002466A5">
      <w:pPr>
        <w:rPr>
          <w:color w:val="000000" w:themeColor="text1"/>
        </w:rPr>
      </w:pPr>
      <w:r w:rsidRPr="00447575">
        <w:rPr>
          <w:color w:val="000000" w:themeColor="text1"/>
          <w:shd w:val="clear" w:color="auto" w:fill="FFFFFF"/>
        </w:rPr>
        <w:t xml:space="preserve">The TCC periodically publishes EIS Bulletins with transition related topics for consideration by agencies, EIS contractors, and GSA. </w:t>
      </w:r>
      <w:r w:rsidR="00447575">
        <w:rPr>
          <w:color w:val="000000" w:themeColor="text1"/>
          <w:shd w:val="clear" w:color="auto" w:fill="FFFFFF"/>
        </w:rPr>
        <w:t>T</w:t>
      </w:r>
      <w:r w:rsidRPr="00447575">
        <w:rPr>
          <w:color w:val="000000" w:themeColor="text1"/>
          <w:shd w:val="clear" w:color="auto" w:fill="FFFFFF"/>
        </w:rPr>
        <w:t xml:space="preserve">opics </w:t>
      </w:r>
      <w:r w:rsidR="00447575">
        <w:rPr>
          <w:color w:val="000000" w:themeColor="text1"/>
          <w:shd w:val="clear" w:color="auto" w:fill="FFFFFF"/>
        </w:rPr>
        <w:t>are</w:t>
      </w:r>
      <w:r w:rsidRPr="00447575">
        <w:rPr>
          <w:color w:val="000000" w:themeColor="text1"/>
          <w:shd w:val="clear" w:color="auto" w:fill="FFFFFF"/>
        </w:rPr>
        <w:t xml:space="preserve"> based upon feedback received through </w:t>
      </w:r>
      <w:r w:rsidR="00447575">
        <w:rPr>
          <w:color w:val="000000" w:themeColor="text1"/>
          <w:shd w:val="clear" w:color="auto" w:fill="FFFFFF"/>
        </w:rPr>
        <w:t>several</w:t>
      </w:r>
      <w:r w:rsidRPr="00447575">
        <w:rPr>
          <w:color w:val="000000" w:themeColor="text1"/>
          <w:shd w:val="clear" w:color="auto" w:fill="FFFFFF"/>
        </w:rPr>
        <w:t xml:space="preserve"> forums.</w:t>
      </w:r>
      <w:r w:rsidR="0060463B" w:rsidRPr="00447575" w:rsidDel="00D34ACB">
        <w:rPr>
          <w:color w:val="000000" w:themeColor="text1"/>
        </w:rPr>
        <w:t xml:space="preserve"> </w:t>
      </w:r>
      <w:r>
        <w:rPr>
          <w:color w:val="000000" w:themeColor="text1"/>
        </w:rPr>
        <w:t xml:space="preserve">Bulletins follow a simplified, but thorough, approval process to </w:t>
      </w:r>
      <w:r w:rsidR="00447575">
        <w:rPr>
          <w:color w:val="000000" w:themeColor="text1"/>
        </w:rPr>
        <w:t>facilitate</w:t>
      </w:r>
      <w:r>
        <w:rPr>
          <w:color w:val="000000" w:themeColor="text1"/>
        </w:rPr>
        <w:t xml:space="preserve"> timely </w:t>
      </w:r>
      <w:r w:rsidR="00447575">
        <w:rPr>
          <w:color w:val="000000" w:themeColor="text1"/>
        </w:rPr>
        <w:t>communication</w:t>
      </w:r>
      <w:r>
        <w:rPr>
          <w:color w:val="000000" w:themeColor="text1"/>
        </w:rPr>
        <w:t xml:space="preserve"> of information to stakeholders.</w:t>
      </w:r>
    </w:p>
    <w:p w14:paraId="1904F3EE" w14:textId="77777777" w:rsidR="0060463B" w:rsidRDefault="0060463B" w:rsidP="00E436C5">
      <w:pPr>
        <w:pStyle w:val="Heading2Hdbk"/>
      </w:pPr>
      <w:bookmarkStart w:id="129" w:name="_Toc12525480"/>
      <w:bookmarkStart w:id="130" w:name="_Toc498950279"/>
      <w:bookmarkStart w:id="131" w:name="_Toc107325311"/>
      <w:r w:rsidRPr="0060463B">
        <w:lastRenderedPageBreak/>
        <w:t>Disconnects</w:t>
      </w:r>
      <w:bookmarkEnd w:id="129"/>
      <w:bookmarkEnd w:id="130"/>
      <w:bookmarkEnd w:id="131"/>
    </w:p>
    <w:p w14:paraId="6E0EB425" w14:textId="274EB755" w:rsidR="00DC7B40" w:rsidRDefault="0060463B" w:rsidP="0060463B">
      <w:pPr>
        <w:pStyle w:val="Default"/>
        <w:jc w:val="both"/>
        <w:rPr>
          <w:rFonts w:ascii="Arial" w:hAnsi="Arial" w:cs="Arial"/>
          <w:sz w:val="22"/>
        </w:rPr>
      </w:pPr>
      <w:r w:rsidRPr="005A1C2A">
        <w:rPr>
          <w:rFonts w:ascii="Arial" w:hAnsi="Arial" w:cs="Arial"/>
          <w:noProof/>
        </w:rPr>
        <mc:AlternateContent>
          <mc:Choice Requires="wps">
            <w:drawing>
              <wp:anchor distT="0" distB="0" distL="114300" distR="114300" simplePos="0" relativeHeight="251659776" behindDoc="0" locked="1" layoutInCell="1" allowOverlap="1" wp14:anchorId="69556203" wp14:editId="6E78EF5C">
                <wp:simplePos x="0" y="0"/>
                <wp:positionH relativeFrom="margin">
                  <wp:posOffset>4457700</wp:posOffset>
                </wp:positionH>
                <wp:positionV relativeFrom="paragraph">
                  <wp:posOffset>-1046480</wp:posOffset>
                </wp:positionV>
                <wp:extent cx="1861820" cy="1685925"/>
                <wp:effectExtent l="0" t="0" r="5080" b="9525"/>
                <wp:wrapSquare wrapText="bothSides"/>
                <wp:docPr id="2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820" cy="1685925"/>
                        </a:xfrm>
                        <a:prstGeom prst="rect">
                          <a:avLst/>
                        </a:prstGeom>
                        <a:solidFill>
                          <a:srgbClr val="DEDE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3CE77B" w14:textId="77777777" w:rsidR="00E436C5" w:rsidRPr="00F07E98" w:rsidRDefault="00E436C5" w:rsidP="00FD359E">
                            <w:pPr>
                              <w:jc w:val="left"/>
                              <w:rPr>
                                <w:b/>
                                <w:i/>
                              </w:rPr>
                            </w:pPr>
                            <w:r w:rsidRPr="00F07E98">
                              <w:rPr>
                                <w:b/>
                                <w:i/>
                              </w:rPr>
                              <w:t>Disconnects</w:t>
                            </w:r>
                          </w:p>
                          <w:p w14:paraId="40893851" w14:textId="77777777" w:rsidR="00E436C5" w:rsidRPr="0060463B" w:rsidRDefault="00E436C5" w:rsidP="00FD359E">
                            <w:pPr>
                              <w:jc w:val="left"/>
                            </w:pPr>
                            <w:r w:rsidRPr="0060463B">
                              <w:t xml:space="preserve">For more information concerning disconnecting Networx, WITS 3, or </w:t>
                            </w:r>
                            <w:r>
                              <w:t xml:space="preserve">GSA </w:t>
                            </w:r>
                            <w:r w:rsidRPr="008C4A5F">
                              <w:t xml:space="preserve">Regional local </w:t>
                            </w:r>
                            <w:r w:rsidRPr="0060463B">
                              <w:t xml:space="preserve">services, please see the redacted contracts for your </w:t>
                            </w:r>
                            <w:r>
                              <w:t>c</w:t>
                            </w:r>
                            <w:r w:rsidRPr="0060463B">
                              <w:t>ontractor.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56203" id="Text Box 33" o:spid="_x0000_s1028" type="#_x0000_t202" style="position:absolute;left:0;text-align:left;margin-left:351pt;margin-top:-82.4pt;width:146.6pt;height:132.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" fillcolor="#dedede" stroked="f">
                <v:textbox>
                  <w:txbxContent>
                    <w:p w14:paraId="493CE77B" w14:textId="77777777" w:rsidR="00E436C5" w:rsidRPr="00F07E98" w:rsidRDefault="00E436C5" w:rsidP="00FD359E">
                      <w:pPr>
                        <w:jc w:val="left"/>
                        <w:rPr>
                          <w:b/>
                          <w:i/>
                        </w:rPr>
                      </w:pPr>
                      <w:r w:rsidRPr="00F07E98">
                        <w:rPr>
                          <w:b/>
                          <w:i/>
                        </w:rPr>
                        <w:t>Disconnects</w:t>
                      </w:r>
                    </w:p>
                    <w:p w14:paraId="40893851" w14:textId="77777777" w:rsidR="00E436C5" w:rsidRPr="0060463B" w:rsidRDefault="00E436C5" w:rsidP="00FD359E">
                      <w:pPr>
                        <w:jc w:val="left"/>
                      </w:pPr>
                      <w:r w:rsidRPr="0060463B">
                        <w:t xml:space="preserve">For more information concerning disconnecting Networx, WITS 3, or </w:t>
                      </w:r>
                      <w:r>
                        <w:t xml:space="preserve">GSA </w:t>
                      </w:r>
                      <w:r w:rsidRPr="008C4A5F">
                        <w:t xml:space="preserve">Regional local </w:t>
                      </w:r>
                      <w:r w:rsidRPr="0060463B">
                        <w:t xml:space="preserve">services, please see the redacted contracts for your </w:t>
                      </w:r>
                      <w:r>
                        <w:t>c</w:t>
                      </w:r>
                      <w:r w:rsidRPr="0060463B">
                        <w:t>ontractor.</w:t>
                      </w:r>
                    </w:p>
                  </w:txbxContent>
                </v:textbox>
                <w10:wrap type="square" anchorx="margin"/>
                <w10:anchorlock/>
              </v:shape>
            </w:pict>
          </mc:Fallback>
        </mc:AlternateContent>
      </w:r>
      <w:r w:rsidRPr="005A1C2A">
        <w:rPr>
          <w:rFonts w:ascii="Arial" w:hAnsi="Arial" w:cs="Arial"/>
        </w:rPr>
        <w:t xml:space="preserve">Disconnecting an agency’s Networx, WITS 3, or </w:t>
      </w:r>
      <w:r w:rsidR="008C4A5F" w:rsidRPr="005A1C2A">
        <w:rPr>
          <w:rFonts w:ascii="Arial" w:hAnsi="Arial" w:cs="Arial"/>
        </w:rPr>
        <w:t>GSA Regional local service</w:t>
      </w:r>
      <w:r w:rsidRPr="005A1C2A">
        <w:rPr>
          <w:rFonts w:ascii="Arial" w:hAnsi="Arial" w:cs="Arial"/>
        </w:rPr>
        <w:t>s</w:t>
      </w:r>
      <w:r w:rsidR="00DC7B40" w:rsidRPr="005A1C2A">
        <w:rPr>
          <w:rFonts w:ascii="Arial" w:hAnsi="Arial" w:cs="Arial"/>
        </w:rPr>
        <w:t xml:space="preserve"> </w:t>
      </w:r>
      <w:r w:rsidRPr="005A1C2A">
        <w:rPr>
          <w:rFonts w:ascii="Arial" w:hAnsi="Arial" w:cs="Arial"/>
        </w:rPr>
        <w:t xml:space="preserve">is the last milestone in transition to EIS. For every EIS transition order there should be </w:t>
      </w:r>
      <w:r w:rsidR="00784370">
        <w:rPr>
          <w:rFonts w:ascii="Arial" w:hAnsi="Arial" w:cs="Arial"/>
        </w:rPr>
        <w:t xml:space="preserve">one or more </w:t>
      </w:r>
      <w:r w:rsidRPr="005A1C2A">
        <w:rPr>
          <w:rFonts w:ascii="Arial" w:hAnsi="Arial" w:cs="Arial"/>
        </w:rPr>
        <w:t>corresponding Networx</w:t>
      </w:r>
      <w:r w:rsidR="008C4A5F" w:rsidRPr="005A1C2A">
        <w:rPr>
          <w:rFonts w:ascii="Arial" w:hAnsi="Arial" w:cs="Arial"/>
        </w:rPr>
        <w:t>,</w:t>
      </w:r>
      <w:r w:rsidRPr="005A1C2A">
        <w:rPr>
          <w:rFonts w:ascii="Arial" w:hAnsi="Arial" w:cs="Arial"/>
        </w:rPr>
        <w:t xml:space="preserve"> WITS 3, or </w:t>
      </w:r>
      <w:r w:rsidR="008C4A5F" w:rsidRPr="005A1C2A">
        <w:rPr>
          <w:rFonts w:ascii="Arial" w:hAnsi="Arial" w:cs="Arial"/>
        </w:rPr>
        <w:t>GSA Regional local service</w:t>
      </w:r>
      <w:r w:rsidRPr="005A1C2A">
        <w:rPr>
          <w:rFonts w:ascii="Arial" w:hAnsi="Arial" w:cs="Arial"/>
        </w:rPr>
        <w:t xml:space="preserve"> disconnect orders. </w:t>
      </w:r>
      <w:r w:rsidR="002449D4" w:rsidRPr="002449D4">
        <w:rPr>
          <w:rFonts w:ascii="Arial" w:hAnsi="Arial" w:cs="Arial"/>
        </w:rPr>
        <w:t>Coordinated and synchronized disconnects and activation by different service providers are essential to ensure transition success.</w:t>
      </w:r>
      <w:r w:rsidR="002449D4">
        <w:rPr>
          <w:rFonts w:ascii="Arial" w:hAnsi="Arial" w:cs="Arial"/>
        </w:rPr>
        <w:t xml:space="preserve"> </w:t>
      </w:r>
      <w:r w:rsidRPr="005A1C2A">
        <w:rPr>
          <w:rFonts w:ascii="Arial" w:hAnsi="Arial" w:cs="Arial"/>
        </w:rPr>
        <w:t>The TI also reflects Networx</w:t>
      </w:r>
      <w:r w:rsidR="008C4A5F" w:rsidRPr="005A1C2A">
        <w:rPr>
          <w:rFonts w:ascii="Arial" w:hAnsi="Arial" w:cs="Arial"/>
        </w:rPr>
        <w:t>,</w:t>
      </w:r>
      <w:r w:rsidRPr="005A1C2A">
        <w:rPr>
          <w:rFonts w:ascii="Arial" w:hAnsi="Arial" w:cs="Arial"/>
        </w:rPr>
        <w:t xml:space="preserve"> WITS 3, and </w:t>
      </w:r>
      <w:r w:rsidR="008C4A5F" w:rsidRPr="005A1C2A">
        <w:rPr>
          <w:rFonts w:ascii="Arial" w:hAnsi="Arial" w:cs="Arial"/>
        </w:rPr>
        <w:t xml:space="preserve">GSA Regional local service </w:t>
      </w:r>
      <w:r w:rsidRPr="005A1C2A">
        <w:rPr>
          <w:rFonts w:ascii="Arial" w:hAnsi="Arial" w:cs="Arial"/>
        </w:rPr>
        <w:t>disconnects for services moved to other contract vehicles or disconnected and not replaced.</w:t>
      </w:r>
      <w:r w:rsidRPr="0060463B">
        <w:rPr>
          <w:rFonts w:ascii="Arial" w:hAnsi="Arial" w:cs="Arial"/>
          <w:sz w:val="22"/>
        </w:rPr>
        <w:t xml:space="preserve">  </w:t>
      </w:r>
    </w:p>
    <w:p w14:paraId="4521E29B" w14:textId="77777777" w:rsidR="0060463B" w:rsidRPr="00970CFF" w:rsidRDefault="0060463B" w:rsidP="00E436C5">
      <w:pPr>
        <w:pStyle w:val="Heading1"/>
        <w:numPr>
          <w:ilvl w:val="0"/>
          <w:numId w:val="2"/>
        </w:numPr>
      </w:pPr>
      <w:bookmarkStart w:id="132" w:name="_Toc12525481"/>
      <w:bookmarkStart w:id="133" w:name="_Toc498950280"/>
      <w:bookmarkStart w:id="134" w:name="_Toc107325312"/>
      <w:r>
        <w:t>Summary</w:t>
      </w:r>
      <w:bookmarkEnd w:id="132"/>
      <w:bookmarkEnd w:id="133"/>
      <w:bookmarkEnd w:id="134"/>
    </w:p>
    <w:p w14:paraId="3FFF3531" w14:textId="16B46DDA" w:rsidR="0060463B" w:rsidRPr="0060463B" w:rsidRDefault="0060463B" w:rsidP="002466A5">
      <w:r w:rsidRPr="0060463B">
        <w:rPr>
          <w:noProof/>
        </w:rPr>
        <mc:AlternateContent>
          <mc:Choice Requires="wps">
            <w:drawing>
              <wp:anchor distT="0" distB="0" distL="114300" distR="114300" simplePos="0" relativeHeight="251660800" behindDoc="0" locked="1" layoutInCell="1" allowOverlap="1" wp14:anchorId="4620CE12" wp14:editId="3BE0FB08">
                <wp:simplePos x="0" y="0"/>
                <wp:positionH relativeFrom="margin">
                  <wp:posOffset>4152900</wp:posOffset>
                </wp:positionH>
                <wp:positionV relativeFrom="paragraph">
                  <wp:posOffset>-273685</wp:posOffset>
                </wp:positionV>
                <wp:extent cx="1861820" cy="1695450"/>
                <wp:effectExtent l="0" t="0" r="5080" b="0"/>
                <wp:wrapSquare wrapText="bothSides"/>
                <wp:docPr id="2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820" cy="1695450"/>
                        </a:xfrm>
                        <a:prstGeom prst="rect">
                          <a:avLst/>
                        </a:prstGeom>
                        <a:solidFill>
                          <a:srgbClr val="DEDE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2C6816" w14:textId="77777777" w:rsidR="00E436C5" w:rsidRPr="00F07E98" w:rsidRDefault="00E436C5" w:rsidP="00FD359E">
                            <w:pPr>
                              <w:jc w:val="left"/>
                              <w:rPr>
                                <w:b/>
                                <w:i/>
                              </w:rPr>
                            </w:pPr>
                            <w:r>
                              <w:rPr>
                                <w:b/>
                                <w:i/>
                              </w:rPr>
                              <w:t>Contact Us</w:t>
                            </w:r>
                          </w:p>
                          <w:p w14:paraId="5BA1FA45" w14:textId="6413D1FF" w:rsidR="00E436C5" w:rsidRPr="00B27144" w:rsidRDefault="00E436C5" w:rsidP="00FD359E">
                            <w:pPr>
                              <w:jc w:val="left"/>
                            </w:pPr>
                            <w:r w:rsidRPr="00B27144">
                              <w:t xml:space="preserve">For more information on Networx, NS2020, or EIS, please contact your </w:t>
                            </w:r>
                            <w:r w:rsidR="00FD1F14">
                              <w:t xml:space="preserve">SB </w:t>
                            </w:r>
                            <w:r>
                              <w:t>(gsa.gov/nspsupport)</w:t>
                            </w:r>
                            <w:r w:rsidRPr="00B27144">
                              <w:t xml:space="preserve"> or the IT Customer Service Center (855) 482-4348, ITCSC@gsa.gov.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0CE12" id="Text Box 108" o:spid="_x0000_s1029" type="#_x0000_t202" style="position:absolute;left:0;text-align:left;margin-left:327pt;margin-top:-21.55pt;width:146.6pt;height:133.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" fillcolor="#dedede" stroked="f">
                <v:textbox>
                  <w:txbxContent>
                    <w:p w14:paraId="6D2C6816" w14:textId="77777777" w:rsidR="00E436C5" w:rsidRPr="00F07E98" w:rsidRDefault="00E436C5" w:rsidP="00FD359E">
                      <w:pPr>
                        <w:jc w:val="left"/>
                        <w:rPr>
                          <w:b/>
                          <w:i/>
                        </w:rPr>
                      </w:pPr>
                      <w:r>
                        <w:rPr>
                          <w:b/>
                          <w:i/>
                        </w:rPr>
                        <w:t>Contact Us</w:t>
                      </w:r>
                    </w:p>
                    <w:p w14:paraId="5BA1FA45" w14:textId="6413D1FF" w:rsidR="00E436C5" w:rsidRPr="00B27144" w:rsidRDefault="00E436C5" w:rsidP="00FD359E">
                      <w:pPr>
                        <w:jc w:val="left"/>
                      </w:pPr>
                      <w:r w:rsidRPr="00B27144">
                        <w:t xml:space="preserve">For more information on Networx, NS2020, or EIS, please contact your </w:t>
                      </w:r>
                      <w:r w:rsidR="00FD1F14">
                        <w:t xml:space="preserve">SB </w:t>
                      </w:r>
                      <w:r>
                        <w:t>(gsa.gov/nspsupport)</w:t>
                      </w:r>
                      <w:r w:rsidRPr="00B27144">
                        <w:t xml:space="preserve"> or the IT Customer Service Center (855) 482-4348, ITCSC@gsa.gov.</w:t>
                      </w:r>
                    </w:p>
                  </w:txbxContent>
                </v:textbox>
                <w10:wrap type="square" anchorx="margin"/>
                <w10:anchorlock/>
              </v:shape>
            </w:pict>
          </mc:Fallback>
        </mc:AlternateContent>
      </w:r>
      <w:r w:rsidRPr="0060463B">
        <w:t xml:space="preserve">Telecommunications services must transition from expiring Networx, WITS 3 and </w:t>
      </w:r>
      <w:r w:rsidR="008C4A5F">
        <w:t>GSA Regional local service</w:t>
      </w:r>
      <w:r w:rsidRPr="0060463B">
        <w:t xml:space="preserve"> contracts.  GSA provides guidelines and direct assistance to agencies on managing the transition of their services to EIS contracts.    Agencies can request additional information on transitioning Networx, WITS 3 and </w:t>
      </w:r>
      <w:r w:rsidR="008C4A5F">
        <w:t>GSA Regional local service</w:t>
      </w:r>
      <w:r w:rsidRPr="0060463B">
        <w:t xml:space="preserve">s to EIS from their GSA </w:t>
      </w:r>
      <w:r w:rsidR="00A47FCA">
        <w:t>SB</w:t>
      </w:r>
      <w:r w:rsidR="00123165" w:rsidRPr="0060463B">
        <w:t xml:space="preserve"> </w:t>
      </w:r>
      <w:r w:rsidRPr="0060463B">
        <w:t>or by contacting the ITCSC.</w:t>
      </w:r>
    </w:p>
    <w:p w14:paraId="3CA86D52" w14:textId="77777777" w:rsidR="0060463B" w:rsidRDefault="0060463B" w:rsidP="002466A5"/>
    <w:p w14:paraId="2476B86F" w14:textId="77777777" w:rsidR="0060463B" w:rsidRPr="0060463B" w:rsidRDefault="0060463B" w:rsidP="002466A5">
      <w:pPr>
        <w:sectPr w:rsidR="0060463B" w:rsidRPr="0060463B" w:rsidSect="007A4B19">
          <w:headerReference w:type="default" r:id="rId30"/>
          <w:footerReference w:type="default" r:id="rId31"/>
          <w:pgSz w:w="12240" w:h="15840"/>
          <w:pgMar w:top="2160" w:right="1440" w:bottom="1440" w:left="1440" w:header="720" w:footer="720" w:gutter="0"/>
          <w:pgNumType w:start="1"/>
          <w:cols w:space="720"/>
          <w:docGrid w:linePitch="360"/>
        </w:sectPr>
      </w:pPr>
    </w:p>
    <w:p w14:paraId="57A62D15" w14:textId="77777777" w:rsidR="001832ED" w:rsidRDefault="00F63847" w:rsidP="00E03C8B">
      <w:pPr>
        <w:pStyle w:val="Heading1"/>
        <w:spacing w:after="240"/>
        <w:ind w:left="432"/>
        <w:jc w:val="center"/>
      </w:pPr>
      <w:bookmarkStart w:id="135" w:name="_Toc12525482"/>
      <w:bookmarkStart w:id="136" w:name="_Toc498950281"/>
      <w:bookmarkStart w:id="137" w:name="_Toc107325313"/>
      <w:r w:rsidRPr="002A6721">
        <w:lastRenderedPageBreak/>
        <w:t xml:space="preserve">Appendix </w:t>
      </w:r>
      <w:r>
        <w:t>A</w:t>
      </w:r>
      <w:r w:rsidRPr="002A6721">
        <w:t xml:space="preserve"> – A</w:t>
      </w:r>
      <w:r w:rsidRPr="005D0079">
        <w:t>cronym List</w:t>
      </w:r>
      <w:bookmarkEnd w:id="135"/>
      <w:bookmarkEnd w:id="136"/>
      <w:bookmarkEnd w:id="137"/>
    </w:p>
    <w:tbl>
      <w:tblPr>
        <w:tblStyle w:val="TableGrid"/>
        <w:tblW w:w="0" w:type="auto"/>
        <w:tblLook w:val="04A0" w:firstRow="1" w:lastRow="0" w:firstColumn="1" w:lastColumn="0" w:noHBand="0" w:noVBand="1"/>
      </w:tblPr>
      <w:tblGrid>
        <w:gridCol w:w="1436"/>
        <w:gridCol w:w="7914"/>
      </w:tblGrid>
      <w:tr w:rsidR="002B26CD" w:rsidRPr="002E54E6" w14:paraId="776B42E9" w14:textId="77777777" w:rsidTr="00802360">
        <w:tc>
          <w:tcPr>
            <w:tcW w:w="1436" w:type="dxa"/>
          </w:tcPr>
          <w:p w14:paraId="05CA8E74" w14:textId="6B9CF040" w:rsidR="002B26CD" w:rsidRPr="002E54E6" w:rsidRDefault="002B26CD" w:rsidP="0068276B">
            <w:r w:rsidRPr="002E54E6">
              <w:t>AAI</w:t>
            </w:r>
          </w:p>
        </w:tc>
        <w:tc>
          <w:tcPr>
            <w:tcW w:w="7914" w:type="dxa"/>
          </w:tcPr>
          <w:p w14:paraId="46C7BB5A" w14:textId="77777777" w:rsidR="002B26CD" w:rsidRPr="002E54E6" w:rsidRDefault="002B26CD" w:rsidP="0068276B">
            <w:r w:rsidRPr="002E54E6">
              <w:t>All Agency Inventory</w:t>
            </w:r>
          </w:p>
        </w:tc>
      </w:tr>
      <w:tr w:rsidR="002B26CD" w:rsidRPr="002E54E6" w14:paraId="59B57385" w14:textId="77777777" w:rsidTr="00802360">
        <w:tc>
          <w:tcPr>
            <w:tcW w:w="1436" w:type="dxa"/>
          </w:tcPr>
          <w:p w14:paraId="76126E8B" w14:textId="31971020" w:rsidR="002B26CD" w:rsidRPr="002E54E6" w:rsidRDefault="002B26CD" w:rsidP="0068276B">
            <w:r w:rsidRPr="00644818">
              <w:t>AB Code</w:t>
            </w:r>
          </w:p>
        </w:tc>
        <w:tc>
          <w:tcPr>
            <w:tcW w:w="7914" w:type="dxa"/>
          </w:tcPr>
          <w:p w14:paraId="3C27B0C6" w14:textId="1CEB4388" w:rsidR="002B26CD" w:rsidRPr="002E54E6" w:rsidRDefault="002B26CD" w:rsidP="0068276B">
            <w:r>
              <w:t>Agency Bureau Code</w:t>
            </w:r>
          </w:p>
        </w:tc>
      </w:tr>
      <w:tr w:rsidR="002B26CD" w:rsidRPr="002E54E6" w14:paraId="083B8349" w14:textId="77777777" w:rsidTr="00802360">
        <w:tc>
          <w:tcPr>
            <w:tcW w:w="1436" w:type="dxa"/>
          </w:tcPr>
          <w:p w14:paraId="65E234F0" w14:textId="51A74B6A" w:rsidR="002B26CD" w:rsidRPr="00644818" w:rsidRDefault="002B26CD" w:rsidP="0068276B">
            <w:r>
              <w:t>AHC</w:t>
            </w:r>
            <w:r>
              <w:tab/>
            </w:r>
          </w:p>
        </w:tc>
        <w:tc>
          <w:tcPr>
            <w:tcW w:w="7914" w:type="dxa"/>
          </w:tcPr>
          <w:p w14:paraId="3215C536" w14:textId="1A04F08F" w:rsidR="002B26CD" w:rsidRDefault="002B26CD" w:rsidP="0068276B">
            <w:r>
              <w:t>Agency Hierarchy Code</w:t>
            </w:r>
          </w:p>
        </w:tc>
      </w:tr>
      <w:tr w:rsidR="009D0A97" w:rsidRPr="002E54E6" w14:paraId="327C5990" w14:textId="77777777" w:rsidTr="00D35626">
        <w:tc>
          <w:tcPr>
            <w:tcW w:w="1436" w:type="dxa"/>
          </w:tcPr>
          <w:p w14:paraId="58296563" w14:textId="7FCA5F53" w:rsidR="009D0A97" w:rsidRDefault="009D0A97" w:rsidP="0068276B">
            <w:r>
              <w:t>ARS</w:t>
            </w:r>
          </w:p>
        </w:tc>
        <w:tc>
          <w:tcPr>
            <w:tcW w:w="7914" w:type="dxa"/>
          </w:tcPr>
          <w:p w14:paraId="47235B8F" w14:textId="1B714C58" w:rsidR="009D0A97" w:rsidRDefault="009D0A97" w:rsidP="0068276B">
            <w:r w:rsidRPr="009D0A97">
              <w:t>Automatic Route Selection</w:t>
            </w:r>
          </w:p>
        </w:tc>
      </w:tr>
      <w:tr w:rsidR="002B26CD" w:rsidRPr="002E54E6" w14:paraId="692E4F9F" w14:textId="77777777" w:rsidTr="00802360">
        <w:tc>
          <w:tcPr>
            <w:tcW w:w="1436" w:type="dxa"/>
          </w:tcPr>
          <w:p w14:paraId="08E89684" w14:textId="6CB893BD" w:rsidR="002B26CD" w:rsidRPr="00644818" w:rsidRDefault="002B26CD" w:rsidP="0068276B">
            <w:r>
              <w:t>ATP</w:t>
            </w:r>
          </w:p>
        </w:tc>
        <w:tc>
          <w:tcPr>
            <w:tcW w:w="7914" w:type="dxa"/>
          </w:tcPr>
          <w:p w14:paraId="5DE30471" w14:textId="3020B2B2" w:rsidR="002B26CD" w:rsidRDefault="002B26CD" w:rsidP="0068276B">
            <w:r>
              <w:t>Agency Transition Plan</w:t>
            </w:r>
          </w:p>
        </w:tc>
      </w:tr>
      <w:tr w:rsidR="0092251E" w:rsidRPr="002E54E6" w14:paraId="372F0370" w14:textId="77777777" w:rsidTr="00802360">
        <w:tc>
          <w:tcPr>
            <w:tcW w:w="1436" w:type="dxa"/>
          </w:tcPr>
          <w:p w14:paraId="0983A680" w14:textId="21A3B9D4" w:rsidR="0092251E" w:rsidRDefault="0092251E" w:rsidP="0068276B">
            <w:r>
              <w:t>BOT</w:t>
            </w:r>
          </w:p>
        </w:tc>
        <w:tc>
          <w:tcPr>
            <w:tcW w:w="7914" w:type="dxa"/>
          </w:tcPr>
          <w:p w14:paraId="1A973DEA" w14:textId="6CEC5FDD" w:rsidR="0092251E" w:rsidRDefault="0092251E" w:rsidP="0068276B">
            <w:r>
              <w:t>Back Office Transition</w:t>
            </w:r>
          </w:p>
        </w:tc>
      </w:tr>
      <w:tr w:rsidR="002B26CD" w:rsidRPr="002E54E6" w14:paraId="4306D4AE" w14:textId="77777777" w:rsidTr="00802360">
        <w:tc>
          <w:tcPr>
            <w:tcW w:w="1436" w:type="dxa"/>
          </w:tcPr>
          <w:p w14:paraId="387E8F56" w14:textId="556FEF74" w:rsidR="002B26CD" w:rsidRPr="00644818" w:rsidRDefault="002B26CD" w:rsidP="0068276B">
            <w:r>
              <w:t>CIO</w:t>
            </w:r>
          </w:p>
        </w:tc>
        <w:tc>
          <w:tcPr>
            <w:tcW w:w="7914" w:type="dxa"/>
          </w:tcPr>
          <w:p w14:paraId="6A4DBADE" w14:textId="55B07A2D" w:rsidR="002B26CD" w:rsidRDefault="00313558" w:rsidP="0068276B">
            <w:r>
              <w:t>Chief Information Officer</w:t>
            </w:r>
          </w:p>
        </w:tc>
      </w:tr>
      <w:tr w:rsidR="009D0A97" w:rsidRPr="002E54E6" w14:paraId="0D8C6B92" w14:textId="77777777" w:rsidTr="00D35626">
        <w:tc>
          <w:tcPr>
            <w:tcW w:w="1436" w:type="dxa"/>
          </w:tcPr>
          <w:p w14:paraId="761F964C" w14:textId="3A2FBCEA" w:rsidR="009D0A97" w:rsidRDefault="009D0A97" w:rsidP="0068276B">
            <w:r>
              <w:t>CLEC</w:t>
            </w:r>
          </w:p>
        </w:tc>
        <w:tc>
          <w:tcPr>
            <w:tcW w:w="7914" w:type="dxa"/>
          </w:tcPr>
          <w:p w14:paraId="34D5EA5B" w14:textId="2C0F4496" w:rsidR="009D0A97" w:rsidRDefault="009D0A97" w:rsidP="0068276B">
            <w:r>
              <w:t>Competitive Local Exchange Carrier</w:t>
            </w:r>
          </w:p>
        </w:tc>
      </w:tr>
      <w:tr w:rsidR="002B26CD" w:rsidRPr="002E54E6" w14:paraId="22CAA329" w14:textId="77777777" w:rsidTr="00802360">
        <w:tc>
          <w:tcPr>
            <w:tcW w:w="1436" w:type="dxa"/>
          </w:tcPr>
          <w:p w14:paraId="33295B1F" w14:textId="6B1518F8" w:rsidR="002B26CD" w:rsidRPr="00644818" w:rsidRDefault="002B26CD" w:rsidP="0068276B">
            <w:r>
              <w:t>CLIN</w:t>
            </w:r>
          </w:p>
        </w:tc>
        <w:tc>
          <w:tcPr>
            <w:tcW w:w="7914" w:type="dxa"/>
          </w:tcPr>
          <w:p w14:paraId="549993DF" w14:textId="0D6AF854" w:rsidR="002B26CD" w:rsidRDefault="00313558" w:rsidP="0068276B">
            <w:r>
              <w:t>Contract Line Item Number</w:t>
            </w:r>
          </w:p>
        </w:tc>
      </w:tr>
      <w:tr w:rsidR="002B26CD" w:rsidRPr="002E54E6" w14:paraId="264C1BDD" w14:textId="77777777" w:rsidTr="00802360">
        <w:tc>
          <w:tcPr>
            <w:tcW w:w="1436" w:type="dxa"/>
          </w:tcPr>
          <w:p w14:paraId="5F85864E" w14:textId="2EF952D2" w:rsidR="002B26CD" w:rsidRPr="00644818" w:rsidRDefault="002B26CD" w:rsidP="0068276B">
            <w:r>
              <w:t>COR</w:t>
            </w:r>
          </w:p>
        </w:tc>
        <w:tc>
          <w:tcPr>
            <w:tcW w:w="7914" w:type="dxa"/>
          </w:tcPr>
          <w:p w14:paraId="207E3F38" w14:textId="020B050A" w:rsidR="002B26CD" w:rsidRDefault="00313558" w:rsidP="0068276B">
            <w:r>
              <w:t>Contracting Officer’s Representative</w:t>
            </w:r>
          </w:p>
        </w:tc>
      </w:tr>
      <w:tr w:rsidR="00C52422" w:rsidRPr="002E54E6" w14:paraId="2F99E2C5" w14:textId="77777777" w:rsidTr="00802360">
        <w:tc>
          <w:tcPr>
            <w:tcW w:w="1436" w:type="dxa"/>
          </w:tcPr>
          <w:p w14:paraId="1D6EFCEC" w14:textId="3627550E" w:rsidR="00C52422" w:rsidRDefault="00C52422" w:rsidP="0068276B">
            <w:r>
              <w:t>CoS</w:t>
            </w:r>
          </w:p>
        </w:tc>
        <w:tc>
          <w:tcPr>
            <w:tcW w:w="7914" w:type="dxa"/>
          </w:tcPr>
          <w:p w14:paraId="45E9A634" w14:textId="2D4BFA5E" w:rsidR="00C52422" w:rsidRDefault="00C52422" w:rsidP="0068276B">
            <w:r>
              <w:t>Continuity of Service</w:t>
            </w:r>
          </w:p>
        </w:tc>
      </w:tr>
      <w:tr w:rsidR="002B26CD" w:rsidRPr="002E54E6" w14:paraId="74E9DB88" w14:textId="77777777" w:rsidTr="00802360">
        <w:tc>
          <w:tcPr>
            <w:tcW w:w="1436" w:type="dxa"/>
          </w:tcPr>
          <w:p w14:paraId="31BFF9E1" w14:textId="4CBC5CB7" w:rsidR="002B26CD" w:rsidRPr="00644818" w:rsidRDefault="00313558" w:rsidP="0068276B">
            <w:r>
              <w:t>DPA</w:t>
            </w:r>
          </w:p>
        </w:tc>
        <w:tc>
          <w:tcPr>
            <w:tcW w:w="7914" w:type="dxa"/>
          </w:tcPr>
          <w:p w14:paraId="2CE1FE69" w14:textId="2341E796" w:rsidR="002B26CD" w:rsidRDefault="00313558" w:rsidP="0068276B">
            <w:r>
              <w:t>Delegation of Procurement Authority</w:t>
            </w:r>
          </w:p>
        </w:tc>
      </w:tr>
      <w:tr w:rsidR="002B26CD" w:rsidRPr="002E54E6" w14:paraId="2DECC5CC" w14:textId="77777777" w:rsidTr="00802360">
        <w:tc>
          <w:tcPr>
            <w:tcW w:w="1436" w:type="dxa"/>
          </w:tcPr>
          <w:p w14:paraId="4D47A534" w14:textId="01AEA1EE" w:rsidR="002B26CD" w:rsidRPr="00644818" w:rsidRDefault="00313558" w:rsidP="0068276B">
            <w:r>
              <w:t>EIS</w:t>
            </w:r>
          </w:p>
        </w:tc>
        <w:tc>
          <w:tcPr>
            <w:tcW w:w="7914" w:type="dxa"/>
          </w:tcPr>
          <w:p w14:paraId="50998E16" w14:textId="36EBEE10" w:rsidR="002B26CD" w:rsidRDefault="00313558" w:rsidP="0068276B">
            <w:r>
              <w:t>Enterprise Infrastructure Solutions</w:t>
            </w:r>
          </w:p>
        </w:tc>
      </w:tr>
      <w:tr w:rsidR="002B26CD" w:rsidRPr="002E54E6" w14:paraId="6817F38F" w14:textId="77777777" w:rsidTr="00802360">
        <w:trPr>
          <w:trHeight w:val="259"/>
        </w:trPr>
        <w:tc>
          <w:tcPr>
            <w:tcW w:w="1436" w:type="dxa"/>
          </w:tcPr>
          <w:p w14:paraId="21022E0A" w14:textId="0D338983" w:rsidR="002B26CD" w:rsidRPr="00644818" w:rsidRDefault="00313558" w:rsidP="0068276B">
            <w:r>
              <w:t>eLearning</w:t>
            </w:r>
          </w:p>
        </w:tc>
        <w:tc>
          <w:tcPr>
            <w:tcW w:w="7914" w:type="dxa"/>
          </w:tcPr>
          <w:p w14:paraId="6BAD07FA" w14:textId="2EDE95B2" w:rsidR="002B26CD" w:rsidRDefault="00313558" w:rsidP="0068276B">
            <w:r>
              <w:t>Electronic (computer based) Learning</w:t>
            </w:r>
          </w:p>
        </w:tc>
      </w:tr>
      <w:tr w:rsidR="002B26CD" w:rsidRPr="002E54E6" w14:paraId="7727AE9C" w14:textId="77777777" w:rsidTr="00802360">
        <w:tc>
          <w:tcPr>
            <w:tcW w:w="1436" w:type="dxa"/>
          </w:tcPr>
          <w:p w14:paraId="6B0973A9" w14:textId="29F477CF" w:rsidR="002B26CD" w:rsidRPr="00644818" w:rsidRDefault="00313558" w:rsidP="0068276B">
            <w:r>
              <w:t>E</w:t>
            </w:r>
            <w:r w:rsidR="00BE2F59">
              <w:t>-</w:t>
            </w:r>
            <w:r>
              <w:t>MORRIS</w:t>
            </w:r>
          </w:p>
        </w:tc>
        <w:tc>
          <w:tcPr>
            <w:tcW w:w="7914" w:type="dxa"/>
          </w:tcPr>
          <w:p w14:paraId="64A70996" w14:textId="44723009" w:rsidR="002B26CD" w:rsidRDefault="00313558" w:rsidP="0068276B">
            <w:r w:rsidRPr="00977133">
              <w:t xml:space="preserve">Enhanced Monthly On-Line Records and Reports of </w:t>
            </w:r>
            <w:r>
              <w:t>IT</w:t>
            </w:r>
            <w:r w:rsidRPr="00977133">
              <w:t xml:space="preserve"> Services</w:t>
            </w:r>
          </w:p>
        </w:tc>
      </w:tr>
      <w:tr w:rsidR="002B26CD" w:rsidRPr="002E54E6" w14:paraId="1C0E2253" w14:textId="77777777" w:rsidTr="00802360">
        <w:tc>
          <w:tcPr>
            <w:tcW w:w="1436" w:type="dxa"/>
          </w:tcPr>
          <w:p w14:paraId="3910021D" w14:textId="46FDFB54" w:rsidR="002B26CD" w:rsidRPr="00644818" w:rsidRDefault="00313558" w:rsidP="0068276B">
            <w:r>
              <w:t>FAR</w:t>
            </w:r>
          </w:p>
        </w:tc>
        <w:tc>
          <w:tcPr>
            <w:tcW w:w="7914" w:type="dxa"/>
          </w:tcPr>
          <w:p w14:paraId="362DF49E" w14:textId="74086B01" w:rsidR="002B26CD" w:rsidRDefault="00313558" w:rsidP="0068276B">
            <w:r>
              <w:t>Federal Acquisition Regulation</w:t>
            </w:r>
          </w:p>
        </w:tc>
      </w:tr>
      <w:tr w:rsidR="002B26CD" w:rsidRPr="002E54E6" w14:paraId="641C698F" w14:textId="77777777" w:rsidTr="00802360">
        <w:tc>
          <w:tcPr>
            <w:tcW w:w="1436" w:type="dxa"/>
          </w:tcPr>
          <w:p w14:paraId="4D9C1DD2" w14:textId="43456C14" w:rsidR="002B26CD" w:rsidRPr="00644818" w:rsidRDefault="00313558" w:rsidP="0068276B">
            <w:r>
              <w:t>FAS</w:t>
            </w:r>
          </w:p>
        </w:tc>
        <w:tc>
          <w:tcPr>
            <w:tcW w:w="7914" w:type="dxa"/>
          </w:tcPr>
          <w:p w14:paraId="7930E70A" w14:textId="568B65D1" w:rsidR="002B26CD" w:rsidRDefault="00313558" w:rsidP="0068276B">
            <w:r>
              <w:t>Federal Acquisition Service</w:t>
            </w:r>
          </w:p>
        </w:tc>
      </w:tr>
      <w:tr w:rsidR="002B26CD" w:rsidRPr="002E54E6" w14:paraId="0052810C" w14:textId="77777777" w:rsidTr="00802360">
        <w:tc>
          <w:tcPr>
            <w:tcW w:w="1436" w:type="dxa"/>
          </w:tcPr>
          <w:p w14:paraId="257D0F20" w14:textId="395B1457" w:rsidR="002B26CD" w:rsidRPr="00644818" w:rsidRDefault="00313558" w:rsidP="0068276B">
            <w:r>
              <w:t>FAQ</w:t>
            </w:r>
          </w:p>
        </w:tc>
        <w:tc>
          <w:tcPr>
            <w:tcW w:w="7914" w:type="dxa"/>
          </w:tcPr>
          <w:p w14:paraId="49BA04AF" w14:textId="083F3B15" w:rsidR="002B26CD" w:rsidRDefault="00313558" w:rsidP="0068276B">
            <w:r>
              <w:t>Frequently Asked Questions</w:t>
            </w:r>
          </w:p>
        </w:tc>
      </w:tr>
      <w:tr w:rsidR="002B26CD" w:rsidRPr="002E54E6" w14:paraId="1D451636" w14:textId="77777777" w:rsidTr="00802360">
        <w:tc>
          <w:tcPr>
            <w:tcW w:w="1436" w:type="dxa"/>
          </w:tcPr>
          <w:p w14:paraId="3425C39A" w14:textId="15AFB723" w:rsidR="002B26CD" w:rsidRPr="00644818" w:rsidRDefault="00313558" w:rsidP="0068276B">
            <w:r>
              <w:t>FO</w:t>
            </w:r>
          </w:p>
        </w:tc>
        <w:tc>
          <w:tcPr>
            <w:tcW w:w="7914" w:type="dxa"/>
          </w:tcPr>
          <w:p w14:paraId="27CDCD2E" w14:textId="070AB79F" w:rsidR="002B26CD" w:rsidRDefault="00313558" w:rsidP="0068276B">
            <w:r>
              <w:t>Fair Opportunity</w:t>
            </w:r>
          </w:p>
        </w:tc>
      </w:tr>
      <w:tr w:rsidR="002B26CD" w:rsidRPr="002E54E6" w14:paraId="42B301D3" w14:textId="77777777" w:rsidTr="00802360">
        <w:tc>
          <w:tcPr>
            <w:tcW w:w="1436" w:type="dxa"/>
          </w:tcPr>
          <w:p w14:paraId="50A28B3E" w14:textId="70587FE3" w:rsidR="002B26CD" w:rsidRPr="00644818" w:rsidRDefault="00313558" w:rsidP="0068276B">
            <w:r>
              <w:t>FY</w:t>
            </w:r>
          </w:p>
        </w:tc>
        <w:tc>
          <w:tcPr>
            <w:tcW w:w="7914" w:type="dxa"/>
          </w:tcPr>
          <w:p w14:paraId="06C4B07B" w14:textId="23CD0351" w:rsidR="002B26CD" w:rsidRDefault="00313558" w:rsidP="0068276B">
            <w:r>
              <w:t>Fiscal Year</w:t>
            </w:r>
          </w:p>
        </w:tc>
      </w:tr>
      <w:tr w:rsidR="002B26CD" w:rsidRPr="002E54E6" w14:paraId="618B52F2" w14:textId="77777777" w:rsidTr="00802360">
        <w:tc>
          <w:tcPr>
            <w:tcW w:w="1436" w:type="dxa"/>
          </w:tcPr>
          <w:p w14:paraId="1B326DCF" w14:textId="39FF9079" w:rsidR="002B26CD" w:rsidRPr="00644818" w:rsidRDefault="00313558" w:rsidP="0068276B">
            <w:r>
              <w:t>GAO</w:t>
            </w:r>
          </w:p>
        </w:tc>
        <w:tc>
          <w:tcPr>
            <w:tcW w:w="7914" w:type="dxa"/>
          </w:tcPr>
          <w:p w14:paraId="78AB5FE8" w14:textId="3F377C8E" w:rsidR="002B26CD" w:rsidRDefault="00313558" w:rsidP="0068276B">
            <w:r>
              <w:t>Government Accountability Office</w:t>
            </w:r>
          </w:p>
        </w:tc>
      </w:tr>
      <w:tr w:rsidR="002B26CD" w:rsidRPr="002E54E6" w14:paraId="3A013922" w14:textId="77777777" w:rsidTr="00802360">
        <w:tc>
          <w:tcPr>
            <w:tcW w:w="1436" w:type="dxa"/>
          </w:tcPr>
          <w:p w14:paraId="74E5F35A" w14:textId="3768A9BC" w:rsidR="002B26CD" w:rsidRPr="00644818" w:rsidRDefault="00313558" w:rsidP="0068276B">
            <w:r>
              <w:t>GFE</w:t>
            </w:r>
          </w:p>
        </w:tc>
        <w:tc>
          <w:tcPr>
            <w:tcW w:w="7914" w:type="dxa"/>
          </w:tcPr>
          <w:p w14:paraId="34B5B583" w14:textId="37A84357" w:rsidR="002B26CD" w:rsidRDefault="00313558" w:rsidP="0068276B">
            <w:r>
              <w:t>Government Furnished Equipment</w:t>
            </w:r>
          </w:p>
        </w:tc>
      </w:tr>
      <w:tr w:rsidR="002B26CD" w:rsidRPr="002E54E6" w14:paraId="3E6849ED" w14:textId="77777777" w:rsidTr="00802360">
        <w:tc>
          <w:tcPr>
            <w:tcW w:w="1436" w:type="dxa"/>
          </w:tcPr>
          <w:p w14:paraId="1542D3C7" w14:textId="09454311" w:rsidR="002B26CD" w:rsidRPr="00644818" w:rsidRDefault="00313558" w:rsidP="0068276B">
            <w:r>
              <w:t>GSA</w:t>
            </w:r>
          </w:p>
        </w:tc>
        <w:tc>
          <w:tcPr>
            <w:tcW w:w="7914" w:type="dxa"/>
          </w:tcPr>
          <w:p w14:paraId="3FC3322A" w14:textId="3DE78C2A" w:rsidR="002B26CD" w:rsidRDefault="00313558" w:rsidP="0068276B">
            <w:r>
              <w:t>General Services Administration</w:t>
            </w:r>
          </w:p>
        </w:tc>
      </w:tr>
      <w:tr w:rsidR="009D0A97" w:rsidRPr="002E54E6" w14:paraId="4FF29329" w14:textId="77777777" w:rsidTr="00D35626">
        <w:tc>
          <w:tcPr>
            <w:tcW w:w="1436" w:type="dxa"/>
          </w:tcPr>
          <w:p w14:paraId="0F2BFB95" w14:textId="387367B3" w:rsidR="009D0A97" w:rsidRDefault="009D0A97" w:rsidP="0068276B">
            <w:r>
              <w:t>HVAC</w:t>
            </w:r>
          </w:p>
        </w:tc>
        <w:tc>
          <w:tcPr>
            <w:tcW w:w="7914" w:type="dxa"/>
          </w:tcPr>
          <w:p w14:paraId="255F3149" w14:textId="614EBDF0" w:rsidR="009D0A97" w:rsidRDefault="009D0A97" w:rsidP="0068276B">
            <w:r>
              <w:t>Heating, Ventilating, and Air-Conditioning</w:t>
            </w:r>
          </w:p>
        </w:tc>
      </w:tr>
      <w:tr w:rsidR="002B26CD" w:rsidRPr="002E54E6" w14:paraId="4AE77C5E" w14:textId="77777777" w:rsidTr="00802360">
        <w:tc>
          <w:tcPr>
            <w:tcW w:w="1436" w:type="dxa"/>
          </w:tcPr>
          <w:p w14:paraId="75952197" w14:textId="2B80B4CB" w:rsidR="002B26CD" w:rsidRPr="00644818" w:rsidRDefault="00313558" w:rsidP="0068276B">
            <w:r>
              <w:t>IAA</w:t>
            </w:r>
          </w:p>
        </w:tc>
        <w:tc>
          <w:tcPr>
            <w:tcW w:w="7914" w:type="dxa"/>
          </w:tcPr>
          <w:p w14:paraId="75369B0F" w14:textId="7DC9A41D" w:rsidR="002B26CD" w:rsidRDefault="00313558" w:rsidP="0068276B">
            <w:r>
              <w:t>Interagency Agreement</w:t>
            </w:r>
          </w:p>
        </w:tc>
      </w:tr>
      <w:tr w:rsidR="002B26CD" w:rsidRPr="002E54E6" w14:paraId="59D85B48" w14:textId="77777777" w:rsidTr="00802360">
        <w:tc>
          <w:tcPr>
            <w:tcW w:w="1436" w:type="dxa"/>
          </w:tcPr>
          <w:p w14:paraId="79884542" w14:textId="6132A58F" w:rsidR="002B26CD" w:rsidRPr="00644818" w:rsidRDefault="00313558" w:rsidP="0068276B">
            <w:r>
              <w:t>IAG</w:t>
            </w:r>
          </w:p>
        </w:tc>
        <w:tc>
          <w:tcPr>
            <w:tcW w:w="7914" w:type="dxa"/>
          </w:tcPr>
          <w:p w14:paraId="7BD5F301" w14:textId="3822B837" w:rsidR="002B26CD" w:rsidRDefault="00313558" w:rsidP="0068276B">
            <w:r>
              <w:t>Infrastructure Advisory Group</w:t>
            </w:r>
          </w:p>
        </w:tc>
      </w:tr>
      <w:tr w:rsidR="00313558" w:rsidRPr="002E54E6" w14:paraId="7D689B9C" w14:textId="77777777" w:rsidTr="00802360">
        <w:tc>
          <w:tcPr>
            <w:tcW w:w="1436" w:type="dxa"/>
          </w:tcPr>
          <w:p w14:paraId="27B571D2" w14:textId="02CA4BF4" w:rsidR="00313558" w:rsidRPr="00644818" w:rsidRDefault="00313558" w:rsidP="0068276B">
            <w:r>
              <w:t>ICB</w:t>
            </w:r>
          </w:p>
        </w:tc>
        <w:tc>
          <w:tcPr>
            <w:tcW w:w="7914" w:type="dxa"/>
          </w:tcPr>
          <w:p w14:paraId="76DC52FD" w14:textId="45D8CF7D" w:rsidR="00313558" w:rsidRDefault="00313558" w:rsidP="0068276B">
            <w:r>
              <w:t>Individual Case Basis</w:t>
            </w:r>
          </w:p>
        </w:tc>
      </w:tr>
      <w:tr w:rsidR="00313558" w:rsidRPr="002E54E6" w14:paraId="2CF2D9A7" w14:textId="77777777" w:rsidTr="00802360">
        <w:tc>
          <w:tcPr>
            <w:tcW w:w="1436" w:type="dxa"/>
          </w:tcPr>
          <w:p w14:paraId="2F5ED5BC" w14:textId="059D19BD" w:rsidR="00313558" w:rsidRPr="00644818" w:rsidRDefault="00313558" w:rsidP="0068276B">
            <w:r>
              <w:t>IGCE</w:t>
            </w:r>
          </w:p>
        </w:tc>
        <w:tc>
          <w:tcPr>
            <w:tcW w:w="7914" w:type="dxa"/>
          </w:tcPr>
          <w:p w14:paraId="643A559A" w14:textId="3592FD0F" w:rsidR="00313558" w:rsidRDefault="00313558" w:rsidP="0068276B">
            <w:r>
              <w:t>Independent Government Cost Estimate</w:t>
            </w:r>
          </w:p>
        </w:tc>
      </w:tr>
      <w:tr w:rsidR="009D0A97" w:rsidRPr="002E54E6" w14:paraId="16C785A9" w14:textId="77777777" w:rsidTr="00D35626">
        <w:tc>
          <w:tcPr>
            <w:tcW w:w="1436" w:type="dxa"/>
          </w:tcPr>
          <w:p w14:paraId="49A9FAAD" w14:textId="17282784" w:rsidR="009D0A97" w:rsidRDefault="009D0A97" w:rsidP="0068276B">
            <w:r>
              <w:t>ILEC</w:t>
            </w:r>
          </w:p>
        </w:tc>
        <w:tc>
          <w:tcPr>
            <w:tcW w:w="7914" w:type="dxa"/>
          </w:tcPr>
          <w:p w14:paraId="1902AD85" w14:textId="065634BD" w:rsidR="009D0A97" w:rsidRDefault="009D0A97" w:rsidP="0068276B">
            <w:r>
              <w:t>Incumbent Local Exchange Carrier</w:t>
            </w:r>
          </w:p>
        </w:tc>
      </w:tr>
      <w:tr w:rsidR="00313558" w:rsidRPr="002E54E6" w14:paraId="634FB210" w14:textId="77777777" w:rsidTr="00802360">
        <w:tc>
          <w:tcPr>
            <w:tcW w:w="1436" w:type="dxa"/>
          </w:tcPr>
          <w:p w14:paraId="161536BE" w14:textId="63976DF1" w:rsidR="00313558" w:rsidRPr="00644818" w:rsidRDefault="00313558" w:rsidP="0068276B">
            <w:r>
              <w:t>ILT</w:t>
            </w:r>
          </w:p>
        </w:tc>
        <w:tc>
          <w:tcPr>
            <w:tcW w:w="7914" w:type="dxa"/>
          </w:tcPr>
          <w:p w14:paraId="46E1E65F" w14:textId="25F12D05" w:rsidR="00313558" w:rsidRDefault="00313558" w:rsidP="0068276B">
            <w:r>
              <w:t>Instructor Led Training</w:t>
            </w:r>
          </w:p>
        </w:tc>
      </w:tr>
      <w:tr w:rsidR="00313558" w:rsidRPr="002E54E6" w14:paraId="2C0C9EE5" w14:textId="77777777" w:rsidTr="00802360">
        <w:tc>
          <w:tcPr>
            <w:tcW w:w="1436" w:type="dxa"/>
          </w:tcPr>
          <w:p w14:paraId="20670896" w14:textId="103ED732" w:rsidR="00313558" w:rsidRPr="00644818" w:rsidRDefault="00313558" w:rsidP="0068276B">
            <w:r>
              <w:t>IP</w:t>
            </w:r>
          </w:p>
        </w:tc>
        <w:tc>
          <w:tcPr>
            <w:tcW w:w="7914" w:type="dxa"/>
          </w:tcPr>
          <w:p w14:paraId="2BC12747" w14:textId="1446E26C" w:rsidR="00313558" w:rsidRDefault="00313558" w:rsidP="0068276B">
            <w:r>
              <w:t>Internet Protocol</w:t>
            </w:r>
          </w:p>
        </w:tc>
      </w:tr>
      <w:tr w:rsidR="00313558" w:rsidRPr="002E54E6" w14:paraId="0DB4238D" w14:textId="77777777" w:rsidTr="00802360">
        <w:tc>
          <w:tcPr>
            <w:tcW w:w="1436" w:type="dxa"/>
          </w:tcPr>
          <w:p w14:paraId="2AFD4221" w14:textId="666C32B3" w:rsidR="00313558" w:rsidRPr="00644818" w:rsidRDefault="00313558" w:rsidP="0068276B">
            <w:r>
              <w:t>IT</w:t>
            </w:r>
          </w:p>
        </w:tc>
        <w:tc>
          <w:tcPr>
            <w:tcW w:w="7914" w:type="dxa"/>
          </w:tcPr>
          <w:p w14:paraId="50DEC839" w14:textId="43033BD4" w:rsidR="00313558" w:rsidRDefault="00313558" w:rsidP="0068276B">
            <w:r>
              <w:t>Information Technology</w:t>
            </w:r>
          </w:p>
        </w:tc>
      </w:tr>
      <w:tr w:rsidR="00716FA7" w:rsidRPr="002E54E6" w14:paraId="4EEADA3B" w14:textId="77777777" w:rsidTr="00716FA7">
        <w:tc>
          <w:tcPr>
            <w:tcW w:w="1436" w:type="dxa"/>
          </w:tcPr>
          <w:p w14:paraId="46A5EA3F" w14:textId="77777777" w:rsidR="00716FA7" w:rsidRPr="00644818" w:rsidRDefault="00716FA7" w:rsidP="008E6AB5">
            <w:r>
              <w:t>ITC</w:t>
            </w:r>
          </w:p>
        </w:tc>
        <w:tc>
          <w:tcPr>
            <w:tcW w:w="7914" w:type="dxa"/>
          </w:tcPr>
          <w:p w14:paraId="661857BD" w14:textId="77777777" w:rsidR="00716FA7" w:rsidRDefault="00716FA7" w:rsidP="008E6AB5">
            <w:r>
              <w:t>Information Technology Category</w:t>
            </w:r>
          </w:p>
        </w:tc>
      </w:tr>
      <w:tr w:rsidR="00313558" w:rsidRPr="002E54E6" w14:paraId="73F450D1" w14:textId="77777777" w:rsidTr="00802360">
        <w:tc>
          <w:tcPr>
            <w:tcW w:w="1436" w:type="dxa"/>
          </w:tcPr>
          <w:p w14:paraId="52905845" w14:textId="20A12A83" w:rsidR="00313558" w:rsidRPr="00644818" w:rsidRDefault="00313558" w:rsidP="0068276B">
            <w:r>
              <w:t>ITCSC</w:t>
            </w:r>
          </w:p>
        </w:tc>
        <w:tc>
          <w:tcPr>
            <w:tcW w:w="7914" w:type="dxa"/>
          </w:tcPr>
          <w:p w14:paraId="0697430F" w14:textId="4838F51B" w:rsidR="00313558" w:rsidRDefault="00313558" w:rsidP="0068276B">
            <w:r>
              <w:t>Information Technology Customer Service Center</w:t>
            </w:r>
          </w:p>
        </w:tc>
      </w:tr>
      <w:tr w:rsidR="009D0A97" w:rsidRPr="002E54E6" w14:paraId="5D23BA3F" w14:textId="77777777" w:rsidTr="00D35626">
        <w:tc>
          <w:tcPr>
            <w:tcW w:w="1436" w:type="dxa"/>
          </w:tcPr>
          <w:p w14:paraId="387360C4" w14:textId="3E371E38" w:rsidR="009D0A97" w:rsidRDefault="009D0A97" w:rsidP="0068276B">
            <w:r>
              <w:t>LEC</w:t>
            </w:r>
          </w:p>
        </w:tc>
        <w:tc>
          <w:tcPr>
            <w:tcW w:w="7914" w:type="dxa"/>
          </w:tcPr>
          <w:p w14:paraId="3D54112D" w14:textId="4BD9CB7E" w:rsidR="009D0A97" w:rsidRDefault="009D0A97" w:rsidP="0068276B">
            <w:r>
              <w:t>Local Exchange Carrier</w:t>
            </w:r>
          </w:p>
        </w:tc>
      </w:tr>
      <w:tr w:rsidR="00716FA7" w:rsidRPr="002E54E6" w14:paraId="3A38A877" w14:textId="77777777" w:rsidTr="00716FA7">
        <w:tc>
          <w:tcPr>
            <w:tcW w:w="1436" w:type="dxa"/>
          </w:tcPr>
          <w:p w14:paraId="72255B92" w14:textId="77777777" w:rsidR="00716FA7" w:rsidRPr="00644818" w:rsidRDefault="00716FA7" w:rsidP="008E6AB5">
            <w:r>
              <w:t>LL</w:t>
            </w:r>
          </w:p>
        </w:tc>
        <w:tc>
          <w:tcPr>
            <w:tcW w:w="7914" w:type="dxa"/>
          </w:tcPr>
          <w:p w14:paraId="1E36DFE9" w14:textId="77777777" w:rsidR="00716FA7" w:rsidRDefault="00716FA7" w:rsidP="008E6AB5">
            <w:r>
              <w:t>Lessons Learned</w:t>
            </w:r>
          </w:p>
        </w:tc>
      </w:tr>
      <w:tr w:rsidR="00313558" w:rsidRPr="002E54E6" w14:paraId="4744AE62" w14:textId="77777777" w:rsidTr="00802360">
        <w:tc>
          <w:tcPr>
            <w:tcW w:w="1436" w:type="dxa"/>
          </w:tcPr>
          <w:p w14:paraId="135DBE7C" w14:textId="1D2A31C8" w:rsidR="00313558" w:rsidRPr="00644818" w:rsidRDefault="00313558" w:rsidP="0068276B">
            <w:r>
              <w:t>LTM</w:t>
            </w:r>
          </w:p>
        </w:tc>
        <w:tc>
          <w:tcPr>
            <w:tcW w:w="7914" w:type="dxa"/>
          </w:tcPr>
          <w:p w14:paraId="0E61569E" w14:textId="7A12065F" w:rsidR="00313558" w:rsidRDefault="00313558" w:rsidP="0068276B">
            <w:r>
              <w:t>Lead Transition Manager</w:t>
            </w:r>
          </w:p>
        </w:tc>
      </w:tr>
      <w:tr w:rsidR="00A93307" w:rsidRPr="002E54E6" w14:paraId="0F0D37B1" w14:textId="77777777" w:rsidTr="00D35626">
        <w:tc>
          <w:tcPr>
            <w:tcW w:w="1436" w:type="dxa"/>
          </w:tcPr>
          <w:p w14:paraId="72A82C78" w14:textId="091E2CEA" w:rsidR="00A93307" w:rsidRDefault="00A93307" w:rsidP="0068276B">
            <w:r>
              <w:t>MACD</w:t>
            </w:r>
          </w:p>
        </w:tc>
        <w:tc>
          <w:tcPr>
            <w:tcW w:w="7914" w:type="dxa"/>
          </w:tcPr>
          <w:p w14:paraId="38BEE969" w14:textId="0B0572B7" w:rsidR="00A93307" w:rsidRDefault="00A93307" w:rsidP="00B047F0">
            <w:r>
              <w:t xml:space="preserve">Move, </w:t>
            </w:r>
            <w:r w:rsidR="00B047F0">
              <w:t>A</w:t>
            </w:r>
            <w:r>
              <w:t xml:space="preserve">dd, </w:t>
            </w:r>
            <w:r w:rsidR="00B047F0">
              <w:t>C</w:t>
            </w:r>
            <w:r>
              <w:t xml:space="preserve">hange, </w:t>
            </w:r>
            <w:r w:rsidR="00B047F0">
              <w:t>D</w:t>
            </w:r>
            <w:r>
              <w:t>isconnect</w:t>
            </w:r>
          </w:p>
        </w:tc>
      </w:tr>
      <w:tr w:rsidR="00313558" w:rsidRPr="002E54E6" w14:paraId="3780F7B3" w14:textId="77777777" w:rsidTr="00802360">
        <w:tc>
          <w:tcPr>
            <w:tcW w:w="1436" w:type="dxa"/>
          </w:tcPr>
          <w:p w14:paraId="18D92BB1" w14:textId="1D540B4E" w:rsidR="00313558" w:rsidRPr="00644818" w:rsidRDefault="00313558" w:rsidP="0068276B">
            <w:r>
              <w:t>MOPS</w:t>
            </w:r>
          </w:p>
        </w:tc>
        <w:tc>
          <w:tcPr>
            <w:tcW w:w="7914" w:type="dxa"/>
          </w:tcPr>
          <w:p w14:paraId="5E6DDB3F" w14:textId="32297DD1" w:rsidR="00313558" w:rsidRDefault="00313558" w:rsidP="0068276B">
            <w:r>
              <w:t>Management and Operations</w:t>
            </w:r>
          </w:p>
        </w:tc>
      </w:tr>
      <w:tr w:rsidR="00CA6B97" w:rsidRPr="002E54E6" w14:paraId="319C4741" w14:textId="77777777" w:rsidTr="00802360">
        <w:tc>
          <w:tcPr>
            <w:tcW w:w="1436" w:type="dxa"/>
          </w:tcPr>
          <w:p w14:paraId="31E7B267" w14:textId="32B332C7" w:rsidR="00CA6B97" w:rsidRDefault="00CA6B97" w:rsidP="0068276B">
            <w:r>
              <w:t>NAUL</w:t>
            </w:r>
          </w:p>
        </w:tc>
        <w:tc>
          <w:tcPr>
            <w:tcW w:w="7914" w:type="dxa"/>
          </w:tcPr>
          <w:p w14:paraId="20B3ED1D" w14:textId="57F793C8" w:rsidR="00CA6B97" w:rsidRDefault="00CA6B97" w:rsidP="0068276B">
            <w:r>
              <w:t>Networks Authorized User List</w:t>
            </w:r>
          </w:p>
        </w:tc>
      </w:tr>
      <w:tr w:rsidR="00313558" w:rsidRPr="002E54E6" w14:paraId="6BB3BA8D" w14:textId="77777777" w:rsidTr="00802360">
        <w:tc>
          <w:tcPr>
            <w:tcW w:w="1436" w:type="dxa"/>
          </w:tcPr>
          <w:p w14:paraId="50E0F69A" w14:textId="1DBA4348" w:rsidR="00313558" w:rsidRPr="00644818" w:rsidRDefault="00313558" w:rsidP="0068276B">
            <w:r>
              <w:t>NS2020</w:t>
            </w:r>
          </w:p>
        </w:tc>
        <w:tc>
          <w:tcPr>
            <w:tcW w:w="7914" w:type="dxa"/>
          </w:tcPr>
          <w:p w14:paraId="6161457D" w14:textId="516B1D2B" w:rsidR="00313558" w:rsidRDefault="00313558" w:rsidP="0068276B">
            <w:r>
              <w:t>Network Services 2020</w:t>
            </w:r>
          </w:p>
        </w:tc>
      </w:tr>
      <w:tr w:rsidR="00313558" w:rsidRPr="002E54E6" w14:paraId="248FD13C" w14:textId="77777777" w:rsidTr="00802360">
        <w:tc>
          <w:tcPr>
            <w:tcW w:w="1436" w:type="dxa"/>
          </w:tcPr>
          <w:p w14:paraId="66C3DCD9" w14:textId="5BBD8D2C" w:rsidR="00313558" w:rsidRPr="00644818" w:rsidRDefault="00313558" w:rsidP="0068276B">
            <w:r>
              <w:t>NTE</w:t>
            </w:r>
          </w:p>
        </w:tc>
        <w:tc>
          <w:tcPr>
            <w:tcW w:w="7914" w:type="dxa"/>
          </w:tcPr>
          <w:p w14:paraId="02FC4FD8" w14:textId="4E3F148C" w:rsidR="00313558" w:rsidRDefault="00313558" w:rsidP="0068276B">
            <w:r>
              <w:t>Not-to-exceed</w:t>
            </w:r>
          </w:p>
        </w:tc>
      </w:tr>
      <w:tr w:rsidR="00313558" w:rsidRPr="002E54E6" w14:paraId="046D42F9" w14:textId="77777777" w:rsidTr="00802360">
        <w:tc>
          <w:tcPr>
            <w:tcW w:w="1436" w:type="dxa"/>
          </w:tcPr>
          <w:p w14:paraId="0F5ECF4B" w14:textId="42BB781B" w:rsidR="00313558" w:rsidRPr="00644818" w:rsidRDefault="00313558" w:rsidP="0068276B">
            <w:r>
              <w:lastRenderedPageBreak/>
              <w:t>OCO</w:t>
            </w:r>
          </w:p>
        </w:tc>
        <w:tc>
          <w:tcPr>
            <w:tcW w:w="7914" w:type="dxa"/>
          </w:tcPr>
          <w:p w14:paraId="434335A1" w14:textId="269E7727" w:rsidR="00313558" w:rsidRDefault="00313558" w:rsidP="0068276B">
            <w:r>
              <w:t>Ordering Contracting Officer</w:t>
            </w:r>
          </w:p>
        </w:tc>
      </w:tr>
      <w:tr w:rsidR="00313558" w:rsidRPr="002E54E6" w14:paraId="2997E419" w14:textId="77777777" w:rsidTr="00802360">
        <w:tc>
          <w:tcPr>
            <w:tcW w:w="1436" w:type="dxa"/>
          </w:tcPr>
          <w:p w14:paraId="1A783722" w14:textId="0ED9DD52" w:rsidR="00313558" w:rsidRPr="00644818" w:rsidRDefault="00313558" w:rsidP="0068276B">
            <w:r>
              <w:t>OMB</w:t>
            </w:r>
          </w:p>
        </w:tc>
        <w:tc>
          <w:tcPr>
            <w:tcW w:w="7914" w:type="dxa"/>
          </w:tcPr>
          <w:p w14:paraId="10E7D9B6" w14:textId="4EBDE2A3" w:rsidR="00313558" w:rsidRDefault="00313558" w:rsidP="0068276B">
            <w:r>
              <w:t>Office of Management and Budget</w:t>
            </w:r>
          </w:p>
        </w:tc>
      </w:tr>
      <w:tr w:rsidR="00313558" w:rsidRPr="002E54E6" w14:paraId="745A8387" w14:textId="77777777" w:rsidTr="00802360">
        <w:tc>
          <w:tcPr>
            <w:tcW w:w="1436" w:type="dxa"/>
          </w:tcPr>
          <w:p w14:paraId="065266D3" w14:textId="1C0C0D79" w:rsidR="00313558" w:rsidRPr="00644818" w:rsidRDefault="00313558" w:rsidP="0068276B">
            <w:r>
              <w:t>OTS</w:t>
            </w:r>
          </w:p>
        </w:tc>
        <w:tc>
          <w:tcPr>
            <w:tcW w:w="7914" w:type="dxa"/>
          </w:tcPr>
          <w:p w14:paraId="223F6035" w14:textId="39987D34" w:rsidR="00313558" w:rsidRDefault="00313558" w:rsidP="0068276B">
            <w:r>
              <w:t>GSA’s Office of Telecommunications Services</w:t>
            </w:r>
          </w:p>
        </w:tc>
      </w:tr>
      <w:tr w:rsidR="00313558" w:rsidRPr="002E54E6" w14:paraId="095A1950" w14:textId="77777777" w:rsidTr="00802360">
        <w:tc>
          <w:tcPr>
            <w:tcW w:w="1436" w:type="dxa"/>
          </w:tcPr>
          <w:p w14:paraId="354D3A2F" w14:textId="4BF34BF4" w:rsidR="00313558" w:rsidRPr="00644818" w:rsidRDefault="00313558" w:rsidP="0068276B">
            <w:r>
              <w:t>PBX</w:t>
            </w:r>
          </w:p>
        </w:tc>
        <w:tc>
          <w:tcPr>
            <w:tcW w:w="7914" w:type="dxa"/>
          </w:tcPr>
          <w:p w14:paraId="6EBDFB2E" w14:textId="263DE5A1" w:rsidR="00313558" w:rsidRDefault="00313558" w:rsidP="0068276B">
            <w:r>
              <w:t>Private Branch Exchange</w:t>
            </w:r>
          </w:p>
        </w:tc>
      </w:tr>
      <w:tr w:rsidR="0092251E" w:rsidRPr="002E54E6" w14:paraId="5F03D70C" w14:textId="77777777" w:rsidTr="00802360">
        <w:tc>
          <w:tcPr>
            <w:tcW w:w="1436" w:type="dxa"/>
          </w:tcPr>
          <w:p w14:paraId="2D877464" w14:textId="315DC22C" w:rsidR="0092251E" w:rsidRDefault="0092251E" w:rsidP="0068276B">
            <w:r>
              <w:t>PIC</w:t>
            </w:r>
          </w:p>
        </w:tc>
        <w:tc>
          <w:tcPr>
            <w:tcW w:w="7914" w:type="dxa"/>
          </w:tcPr>
          <w:p w14:paraId="4088E69C" w14:textId="74EEF184" w:rsidR="0092251E" w:rsidRDefault="0092251E" w:rsidP="0068276B">
            <w:r>
              <w:t>Primary Interexchange Carrier</w:t>
            </w:r>
          </w:p>
        </w:tc>
      </w:tr>
      <w:tr w:rsidR="00313558" w:rsidRPr="002E54E6" w14:paraId="7EB0DA8F" w14:textId="77777777" w:rsidTr="00802360">
        <w:tc>
          <w:tcPr>
            <w:tcW w:w="1436" w:type="dxa"/>
          </w:tcPr>
          <w:p w14:paraId="5D9128FD" w14:textId="5C627649" w:rsidR="00313558" w:rsidRPr="00644818" w:rsidRDefault="00313558" w:rsidP="0068276B">
            <w:r>
              <w:t>PMO</w:t>
            </w:r>
          </w:p>
        </w:tc>
        <w:tc>
          <w:tcPr>
            <w:tcW w:w="7914" w:type="dxa"/>
          </w:tcPr>
          <w:p w14:paraId="24DE495A" w14:textId="209468E3" w:rsidR="00313558" w:rsidRDefault="00313558" w:rsidP="0068276B">
            <w:r>
              <w:t>Program Management Office</w:t>
            </w:r>
          </w:p>
        </w:tc>
      </w:tr>
      <w:tr w:rsidR="00313558" w:rsidRPr="002E54E6" w14:paraId="7718F7A5" w14:textId="77777777" w:rsidTr="00802360">
        <w:tc>
          <w:tcPr>
            <w:tcW w:w="1436" w:type="dxa"/>
          </w:tcPr>
          <w:p w14:paraId="09D20349" w14:textId="47489AAE" w:rsidR="00313558" w:rsidRPr="00644818" w:rsidRDefault="00313558" w:rsidP="0068276B">
            <w:r>
              <w:t>RFP</w:t>
            </w:r>
          </w:p>
        </w:tc>
        <w:tc>
          <w:tcPr>
            <w:tcW w:w="7914" w:type="dxa"/>
          </w:tcPr>
          <w:p w14:paraId="58D4CF13" w14:textId="3A5123BF" w:rsidR="00313558" w:rsidRDefault="00313558" w:rsidP="0068276B">
            <w:r>
              <w:t>Request for Proposal</w:t>
            </w:r>
          </w:p>
        </w:tc>
      </w:tr>
      <w:tr w:rsidR="00313558" w:rsidRPr="002E54E6" w14:paraId="0036E569" w14:textId="77777777" w:rsidTr="00802360">
        <w:tc>
          <w:tcPr>
            <w:tcW w:w="1436" w:type="dxa"/>
          </w:tcPr>
          <w:p w14:paraId="69BDDDF8" w14:textId="76984021" w:rsidR="00313558" w:rsidRPr="00644818" w:rsidRDefault="00313558" w:rsidP="0068276B">
            <w:r>
              <w:t>RFQ</w:t>
            </w:r>
          </w:p>
        </w:tc>
        <w:tc>
          <w:tcPr>
            <w:tcW w:w="7914" w:type="dxa"/>
          </w:tcPr>
          <w:p w14:paraId="33F95B78" w14:textId="1F7EF639" w:rsidR="00313558" w:rsidRDefault="00313558" w:rsidP="0068276B">
            <w:r>
              <w:t>Request for Quote</w:t>
            </w:r>
          </w:p>
        </w:tc>
      </w:tr>
      <w:tr w:rsidR="00A47FCA" w:rsidRPr="002E54E6" w14:paraId="43C0EC57" w14:textId="77777777" w:rsidTr="00802360">
        <w:tc>
          <w:tcPr>
            <w:tcW w:w="1436" w:type="dxa"/>
          </w:tcPr>
          <w:p w14:paraId="7EA6FDAE" w14:textId="7DC7A2C9" w:rsidR="00A47FCA" w:rsidRDefault="00A47FCA" w:rsidP="0068276B">
            <w:r>
              <w:t>SB</w:t>
            </w:r>
          </w:p>
        </w:tc>
        <w:tc>
          <w:tcPr>
            <w:tcW w:w="7914" w:type="dxa"/>
          </w:tcPr>
          <w:p w14:paraId="675F07F3" w14:textId="638B9490" w:rsidR="00A47FCA" w:rsidRDefault="00A47FCA" w:rsidP="0068276B">
            <w:r>
              <w:t>Solutions Broker</w:t>
            </w:r>
          </w:p>
        </w:tc>
      </w:tr>
      <w:tr w:rsidR="00313558" w:rsidRPr="002E54E6" w14:paraId="28E89618" w14:textId="77777777" w:rsidTr="00802360">
        <w:tc>
          <w:tcPr>
            <w:tcW w:w="1436" w:type="dxa"/>
          </w:tcPr>
          <w:p w14:paraId="3DB25402" w14:textId="23C1D2EB" w:rsidR="00313558" w:rsidRPr="00644818" w:rsidRDefault="00313558" w:rsidP="0068276B">
            <w:r>
              <w:t>SOP</w:t>
            </w:r>
          </w:p>
        </w:tc>
        <w:tc>
          <w:tcPr>
            <w:tcW w:w="7914" w:type="dxa"/>
          </w:tcPr>
          <w:p w14:paraId="7D4DB368" w14:textId="5FF3B21A" w:rsidR="00313558" w:rsidRDefault="00313558" w:rsidP="0068276B">
            <w:r>
              <w:t>Standard Operating Procedure</w:t>
            </w:r>
          </w:p>
        </w:tc>
      </w:tr>
      <w:tr w:rsidR="00313558" w:rsidRPr="002E54E6" w14:paraId="5E88B941" w14:textId="77777777" w:rsidTr="00802360">
        <w:tc>
          <w:tcPr>
            <w:tcW w:w="1436" w:type="dxa"/>
          </w:tcPr>
          <w:p w14:paraId="2E325A83" w14:textId="477CD39F" w:rsidR="00313558" w:rsidRPr="00644818" w:rsidRDefault="00313558" w:rsidP="0068276B">
            <w:r>
              <w:t>SOW</w:t>
            </w:r>
          </w:p>
        </w:tc>
        <w:tc>
          <w:tcPr>
            <w:tcW w:w="7914" w:type="dxa"/>
          </w:tcPr>
          <w:p w14:paraId="5CC722A3" w14:textId="7B1CF2BF" w:rsidR="00313558" w:rsidRDefault="00313558" w:rsidP="0068276B">
            <w:r>
              <w:t>Statement of Work</w:t>
            </w:r>
          </w:p>
        </w:tc>
      </w:tr>
      <w:tr w:rsidR="00313558" w:rsidRPr="002E54E6" w14:paraId="0403EE3E" w14:textId="77777777" w:rsidTr="00802360">
        <w:tc>
          <w:tcPr>
            <w:tcW w:w="1436" w:type="dxa"/>
          </w:tcPr>
          <w:p w14:paraId="6B18A444" w14:textId="705F95C0" w:rsidR="00313558" w:rsidRPr="00644818" w:rsidRDefault="00313558" w:rsidP="0068276B">
            <w:r>
              <w:t>TBD</w:t>
            </w:r>
          </w:p>
        </w:tc>
        <w:tc>
          <w:tcPr>
            <w:tcW w:w="7914" w:type="dxa"/>
          </w:tcPr>
          <w:p w14:paraId="2B62AFED" w14:textId="06368768" w:rsidR="00313558" w:rsidRDefault="00313558" w:rsidP="0068276B">
            <w:r>
              <w:t>To be determined</w:t>
            </w:r>
          </w:p>
        </w:tc>
      </w:tr>
      <w:tr w:rsidR="00313558" w:rsidRPr="002E54E6" w14:paraId="427CEB92" w14:textId="77777777" w:rsidTr="00802360">
        <w:tc>
          <w:tcPr>
            <w:tcW w:w="1436" w:type="dxa"/>
          </w:tcPr>
          <w:p w14:paraId="7182B02C" w14:textId="1C114E13" w:rsidR="00313558" w:rsidRPr="00644818" w:rsidRDefault="00313558" w:rsidP="0068276B">
            <w:r>
              <w:t>TCC</w:t>
            </w:r>
          </w:p>
        </w:tc>
        <w:tc>
          <w:tcPr>
            <w:tcW w:w="7914" w:type="dxa"/>
          </w:tcPr>
          <w:p w14:paraId="3DAD7561" w14:textId="64577D30" w:rsidR="00313558" w:rsidRDefault="00313558" w:rsidP="0068276B">
            <w:r>
              <w:t>Transition Coordination Center</w:t>
            </w:r>
          </w:p>
        </w:tc>
      </w:tr>
      <w:tr w:rsidR="000E692D" w:rsidRPr="002E54E6" w14:paraId="35EAF9E0" w14:textId="77777777" w:rsidTr="00802360">
        <w:tc>
          <w:tcPr>
            <w:tcW w:w="1436" w:type="dxa"/>
          </w:tcPr>
          <w:p w14:paraId="55A308EC" w14:textId="1F6A87FC" w:rsidR="000E692D" w:rsidRDefault="000E692D" w:rsidP="0068276B">
            <w:r>
              <w:t>TEA</w:t>
            </w:r>
          </w:p>
        </w:tc>
        <w:tc>
          <w:tcPr>
            <w:tcW w:w="7914" w:type="dxa"/>
          </w:tcPr>
          <w:p w14:paraId="6A9A20D8" w14:textId="3CF0E3D7" w:rsidR="000E692D" w:rsidRDefault="000E692D" w:rsidP="0068276B">
            <w:r>
              <w:t>Transition Engineering Assistance</w:t>
            </w:r>
          </w:p>
        </w:tc>
      </w:tr>
      <w:tr w:rsidR="00313558" w:rsidRPr="002E54E6" w14:paraId="17180C83" w14:textId="77777777" w:rsidTr="00802360">
        <w:tc>
          <w:tcPr>
            <w:tcW w:w="1436" w:type="dxa"/>
          </w:tcPr>
          <w:p w14:paraId="02F68A42" w14:textId="69850392" w:rsidR="00313558" w:rsidRPr="00644818" w:rsidRDefault="002F2E58" w:rsidP="0068276B">
            <w:r>
              <w:t>TI</w:t>
            </w:r>
          </w:p>
        </w:tc>
        <w:tc>
          <w:tcPr>
            <w:tcW w:w="7914" w:type="dxa"/>
          </w:tcPr>
          <w:p w14:paraId="4722A4C6" w14:textId="43D24696" w:rsidR="00313558" w:rsidRDefault="002F2E58" w:rsidP="0068276B">
            <w:r>
              <w:t>Transition Inventory</w:t>
            </w:r>
          </w:p>
        </w:tc>
      </w:tr>
      <w:tr w:rsidR="002F2E58" w:rsidRPr="002E54E6" w14:paraId="7A6D5039" w14:textId="77777777" w:rsidTr="00802360">
        <w:tc>
          <w:tcPr>
            <w:tcW w:w="1436" w:type="dxa"/>
          </w:tcPr>
          <w:p w14:paraId="2A52E1D8" w14:textId="31BB025F" w:rsidR="002F2E58" w:rsidRPr="00644818" w:rsidRDefault="002F2E58" w:rsidP="0068276B">
            <w:r>
              <w:t>TM</w:t>
            </w:r>
          </w:p>
        </w:tc>
        <w:tc>
          <w:tcPr>
            <w:tcW w:w="7914" w:type="dxa"/>
          </w:tcPr>
          <w:p w14:paraId="48AEF156" w14:textId="02FCFCE3" w:rsidR="002F2E58" w:rsidRDefault="002F2E58" w:rsidP="0068276B">
            <w:r>
              <w:t>Transition Manager</w:t>
            </w:r>
          </w:p>
        </w:tc>
      </w:tr>
      <w:tr w:rsidR="002F2E58" w:rsidRPr="002E54E6" w14:paraId="70E2279D" w14:textId="77777777" w:rsidTr="00802360">
        <w:tc>
          <w:tcPr>
            <w:tcW w:w="1436" w:type="dxa"/>
          </w:tcPr>
          <w:p w14:paraId="618C1D3F" w14:textId="02BDF8B1" w:rsidR="002F2E58" w:rsidRPr="00644818" w:rsidRDefault="002F2E58" w:rsidP="0068276B">
            <w:r>
              <w:t>TO</w:t>
            </w:r>
          </w:p>
        </w:tc>
        <w:tc>
          <w:tcPr>
            <w:tcW w:w="7914" w:type="dxa"/>
          </w:tcPr>
          <w:p w14:paraId="574AEFE6" w14:textId="3CC3C577" w:rsidR="002F2E58" w:rsidRDefault="002F2E58" w:rsidP="0068276B">
            <w:r>
              <w:t>Task Order</w:t>
            </w:r>
          </w:p>
        </w:tc>
      </w:tr>
      <w:tr w:rsidR="002F2E58" w:rsidRPr="002E54E6" w14:paraId="1F515183" w14:textId="77777777" w:rsidTr="00802360">
        <w:tc>
          <w:tcPr>
            <w:tcW w:w="1436" w:type="dxa"/>
          </w:tcPr>
          <w:p w14:paraId="1F944FF8" w14:textId="21989574" w:rsidR="002F2E58" w:rsidRPr="00644818" w:rsidRDefault="002F2E58" w:rsidP="0068276B">
            <w:r>
              <w:t>TOA</w:t>
            </w:r>
          </w:p>
        </w:tc>
        <w:tc>
          <w:tcPr>
            <w:tcW w:w="7914" w:type="dxa"/>
          </w:tcPr>
          <w:p w14:paraId="17CC9A8A" w14:textId="061D87F8" w:rsidR="002F2E58" w:rsidRDefault="002F2E58" w:rsidP="0068276B">
            <w:r>
              <w:t>Transition Ordering Assistance</w:t>
            </w:r>
          </w:p>
        </w:tc>
      </w:tr>
      <w:tr w:rsidR="002F2E58" w:rsidRPr="002E54E6" w14:paraId="3DEEEA92" w14:textId="77777777" w:rsidTr="00802360">
        <w:tc>
          <w:tcPr>
            <w:tcW w:w="1436" w:type="dxa"/>
          </w:tcPr>
          <w:p w14:paraId="5FB129EF" w14:textId="7393F87A" w:rsidR="002F2E58" w:rsidRPr="00644818" w:rsidRDefault="002F2E58" w:rsidP="0068276B">
            <w:r>
              <w:t>TOCO</w:t>
            </w:r>
          </w:p>
        </w:tc>
        <w:tc>
          <w:tcPr>
            <w:tcW w:w="7914" w:type="dxa"/>
          </w:tcPr>
          <w:p w14:paraId="2AA2ADB6" w14:textId="31CCC74D" w:rsidR="002F2E58" w:rsidRDefault="002F2E58" w:rsidP="0068276B">
            <w:r>
              <w:t>Transition Ordering Contracting Officer</w:t>
            </w:r>
          </w:p>
        </w:tc>
      </w:tr>
      <w:tr w:rsidR="002F2E58" w:rsidRPr="002E54E6" w14:paraId="54177A27" w14:textId="77777777" w:rsidTr="00802360">
        <w:tc>
          <w:tcPr>
            <w:tcW w:w="1436" w:type="dxa"/>
          </w:tcPr>
          <w:p w14:paraId="26DBD3A8" w14:textId="5651CA2E" w:rsidR="002F2E58" w:rsidRPr="00644818" w:rsidRDefault="002F2E58" w:rsidP="0068276B">
            <w:r>
              <w:t>TOPS</w:t>
            </w:r>
          </w:p>
        </w:tc>
        <w:tc>
          <w:tcPr>
            <w:tcW w:w="7914" w:type="dxa"/>
          </w:tcPr>
          <w:p w14:paraId="5A5398BD" w14:textId="12E96E32" w:rsidR="002F2E58" w:rsidRDefault="002F2E58" w:rsidP="0068276B">
            <w:r>
              <w:t>Telecommunications Ordering and Pricing System</w:t>
            </w:r>
          </w:p>
        </w:tc>
      </w:tr>
      <w:tr w:rsidR="00A93307" w:rsidRPr="002E54E6" w14:paraId="1E880F77" w14:textId="77777777" w:rsidTr="00D35626">
        <w:tc>
          <w:tcPr>
            <w:tcW w:w="1436" w:type="dxa"/>
          </w:tcPr>
          <w:p w14:paraId="25A1206C" w14:textId="64C5FDCD" w:rsidR="00A93307" w:rsidRDefault="00A93307" w:rsidP="0068276B">
            <w:r>
              <w:t>VLAN</w:t>
            </w:r>
          </w:p>
        </w:tc>
        <w:tc>
          <w:tcPr>
            <w:tcW w:w="7914" w:type="dxa"/>
          </w:tcPr>
          <w:p w14:paraId="3165840F" w14:textId="1FE90F0D" w:rsidR="00A93307" w:rsidRDefault="00450A37" w:rsidP="0068276B">
            <w:r>
              <w:t>Virtual Local Area Network</w:t>
            </w:r>
          </w:p>
        </w:tc>
      </w:tr>
      <w:tr w:rsidR="00313558" w:rsidRPr="002E54E6" w14:paraId="55F3D42F" w14:textId="77777777" w:rsidTr="00802360">
        <w:tc>
          <w:tcPr>
            <w:tcW w:w="1436" w:type="dxa"/>
          </w:tcPr>
          <w:p w14:paraId="2D26CDC7" w14:textId="7B0F5782" w:rsidR="00313558" w:rsidRPr="00644818" w:rsidRDefault="002F2E58" w:rsidP="0068276B">
            <w:r>
              <w:t>WITS 3</w:t>
            </w:r>
          </w:p>
        </w:tc>
        <w:tc>
          <w:tcPr>
            <w:tcW w:w="7914" w:type="dxa"/>
          </w:tcPr>
          <w:p w14:paraId="44B10404" w14:textId="2A89D044" w:rsidR="00313558" w:rsidRDefault="002F2E58" w:rsidP="0068276B">
            <w:r>
              <w:t>Washington Interagency Telecommunications System 3</w:t>
            </w:r>
          </w:p>
        </w:tc>
      </w:tr>
    </w:tbl>
    <w:p w14:paraId="4C756BE3" w14:textId="46C2984B" w:rsidR="002B26CD" w:rsidRDefault="002B26CD" w:rsidP="002B26CD">
      <w:pPr>
        <w:tabs>
          <w:tab w:val="left" w:pos="1440"/>
        </w:tabs>
      </w:pPr>
    </w:p>
    <w:p w14:paraId="03DE2614" w14:textId="59EB06F2" w:rsidR="005C14E8" w:rsidRDefault="005C14E8">
      <w:pPr>
        <w:widowControl/>
        <w:autoSpaceDE/>
        <w:autoSpaceDN/>
        <w:adjustRightInd/>
        <w:jc w:val="left"/>
      </w:pPr>
      <w:r>
        <w:br w:type="page"/>
      </w:r>
    </w:p>
    <w:p w14:paraId="54FAFD30" w14:textId="0FA9A199" w:rsidR="00F63847" w:rsidRDefault="00F63847" w:rsidP="00E436C5">
      <w:pPr>
        <w:pStyle w:val="Heading1"/>
        <w:ind w:left="432"/>
        <w:jc w:val="center"/>
      </w:pPr>
      <w:bookmarkStart w:id="138" w:name="_Toc12525483"/>
      <w:bookmarkStart w:id="139" w:name="_Toc498950282"/>
      <w:bookmarkStart w:id="140" w:name="_Toc107325314"/>
      <w:r>
        <w:lastRenderedPageBreak/>
        <w:t>A</w:t>
      </w:r>
      <w:r w:rsidRPr="00870F52">
        <w:t xml:space="preserve">ppendix </w:t>
      </w:r>
      <w:r>
        <w:t>B</w:t>
      </w:r>
      <w:r w:rsidRPr="00870F52">
        <w:t xml:space="preserve"> – </w:t>
      </w:r>
      <w:r>
        <w:t>Agency Transition Plan Outline</w:t>
      </w:r>
      <w:bookmarkEnd w:id="138"/>
      <w:bookmarkEnd w:id="139"/>
      <w:bookmarkEnd w:id="140"/>
    </w:p>
    <w:p w14:paraId="12E3E3FF" w14:textId="7390A877" w:rsidR="0098097A" w:rsidRPr="007505FE" w:rsidRDefault="00D034D3" w:rsidP="00E436C5">
      <w:pPr>
        <w:spacing w:before="240" w:after="60"/>
        <w:rPr>
          <w:bCs/>
          <w:szCs w:val="28"/>
        </w:rPr>
      </w:pPr>
      <w:r w:rsidRPr="00774C8C">
        <w:rPr>
          <w:b/>
          <w:bCs/>
          <w:sz w:val="28"/>
          <w:szCs w:val="28"/>
        </w:rPr>
        <w:t xml:space="preserve">B.1 </w:t>
      </w:r>
      <w:r>
        <w:rPr>
          <w:b/>
          <w:bCs/>
          <w:sz w:val="28"/>
          <w:szCs w:val="28"/>
        </w:rPr>
        <w:tab/>
      </w:r>
      <w:bookmarkStart w:id="141" w:name="_Toc498950283"/>
      <w:r w:rsidR="0098097A" w:rsidRPr="00E436C5">
        <w:rPr>
          <w:b/>
          <w:sz w:val="28"/>
        </w:rPr>
        <w:t>Project Scope and Charter</w:t>
      </w:r>
      <w:bookmarkEnd w:id="141"/>
    </w:p>
    <w:p w14:paraId="4BAE6742" w14:textId="77777777" w:rsidR="000F14BE" w:rsidRPr="00894010" w:rsidRDefault="000F14BE" w:rsidP="000F14BE">
      <w:r w:rsidRPr="00894010">
        <w:t xml:space="preserve">Describe the business </w:t>
      </w:r>
      <w:r w:rsidR="00F3566C" w:rsidRPr="00894010">
        <w:t>needs</w:t>
      </w:r>
      <w:r w:rsidRPr="00894010">
        <w:t xml:space="preserve">, current </w:t>
      </w:r>
      <w:r w:rsidR="00F3566C" w:rsidRPr="00894010">
        <w:t>understanding</w:t>
      </w:r>
      <w:r w:rsidRPr="00894010">
        <w:t xml:space="preserve"> of needs of users across the agency, and services the project is intended to </w:t>
      </w:r>
      <w:r w:rsidR="00F3566C" w:rsidRPr="00894010">
        <w:t>provide.  Include the following areas:</w:t>
      </w:r>
    </w:p>
    <w:p w14:paraId="7CBC1C99" w14:textId="77777777" w:rsidR="00F3566C" w:rsidRPr="00894010" w:rsidRDefault="00F3566C" w:rsidP="000567A5">
      <w:pPr>
        <w:pStyle w:val="ListParagraph"/>
        <w:numPr>
          <w:ilvl w:val="0"/>
          <w:numId w:val="39"/>
        </w:numPr>
      </w:pPr>
      <w:r w:rsidRPr="00894010">
        <w:t>Purpose or justification</w:t>
      </w:r>
    </w:p>
    <w:p w14:paraId="57A220AD" w14:textId="77777777" w:rsidR="00F3566C" w:rsidRPr="00894010" w:rsidRDefault="00F3566C" w:rsidP="000567A5">
      <w:pPr>
        <w:pStyle w:val="ListParagraph"/>
        <w:numPr>
          <w:ilvl w:val="0"/>
          <w:numId w:val="39"/>
        </w:numPr>
      </w:pPr>
      <w:r w:rsidRPr="00894010">
        <w:t>Measurable objectives and success criteria</w:t>
      </w:r>
    </w:p>
    <w:p w14:paraId="01CC79DF" w14:textId="77777777" w:rsidR="00F3566C" w:rsidRPr="00894010" w:rsidRDefault="00F3566C" w:rsidP="000567A5">
      <w:pPr>
        <w:pStyle w:val="ListParagraph"/>
        <w:numPr>
          <w:ilvl w:val="0"/>
          <w:numId w:val="39"/>
        </w:numPr>
      </w:pPr>
      <w:r w:rsidRPr="00894010">
        <w:t>High-level requirements</w:t>
      </w:r>
    </w:p>
    <w:p w14:paraId="1C6C1E81" w14:textId="77777777" w:rsidR="00F3566C" w:rsidRPr="00894010" w:rsidRDefault="00F3566C" w:rsidP="000567A5">
      <w:pPr>
        <w:pStyle w:val="ListParagraph"/>
        <w:numPr>
          <w:ilvl w:val="0"/>
          <w:numId w:val="39"/>
        </w:numPr>
      </w:pPr>
      <w:r w:rsidRPr="00894010">
        <w:t>High-level risks</w:t>
      </w:r>
    </w:p>
    <w:p w14:paraId="7ADB0112" w14:textId="77777777" w:rsidR="00F3566C" w:rsidRPr="00894010" w:rsidRDefault="00F3566C" w:rsidP="000567A5">
      <w:pPr>
        <w:pStyle w:val="ListParagraph"/>
        <w:numPr>
          <w:ilvl w:val="0"/>
          <w:numId w:val="39"/>
        </w:numPr>
      </w:pPr>
      <w:r w:rsidRPr="00894010">
        <w:t>Summary milestone schedule</w:t>
      </w:r>
    </w:p>
    <w:p w14:paraId="3EC507F3" w14:textId="77777777" w:rsidR="00F3566C" w:rsidRPr="00894010" w:rsidRDefault="00F3566C" w:rsidP="000567A5">
      <w:pPr>
        <w:pStyle w:val="ListParagraph"/>
        <w:numPr>
          <w:ilvl w:val="0"/>
          <w:numId w:val="39"/>
        </w:numPr>
      </w:pPr>
      <w:r w:rsidRPr="00894010">
        <w:t>Summary budget.</w:t>
      </w:r>
    </w:p>
    <w:p w14:paraId="27CECB39" w14:textId="76004E0C" w:rsidR="00027B49" w:rsidRPr="007505FE" w:rsidRDefault="001835E4" w:rsidP="00E436C5">
      <w:pPr>
        <w:spacing w:before="240" w:after="60"/>
        <w:rPr>
          <w:bCs/>
          <w:szCs w:val="28"/>
        </w:rPr>
      </w:pPr>
      <w:r>
        <w:rPr>
          <w:b/>
          <w:bCs/>
          <w:sz w:val="28"/>
          <w:szCs w:val="28"/>
        </w:rPr>
        <w:t>B.2</w:t>
      </w:r>
      <w:r>
        <w:rPr>
          <w:b/>
          <w:bCs/>
          <w:sz w:val="28"/>
          <w:szCs w:val="28"/>
        </w:rPr>
        <w:tab/>
      </w:r>
      <w:bookmarkStart w:id="142" w:name="_Toc498950284"/>
      <w:r w:rsidR="009415EA" w:rsidRPr="00E436C5">
        <w:rPr>
          <w:b/>
          <w:sz w:val="28"/>
        </w:rPr>
        <w:t>Leads for Integrated Transition Team</w:t>
      </w:r>
      <w:bookmarkEnd w:id="142"/>
    </w:p>
    <w:p w14:paraId="43570A4C" w14:textId="77777777" w:rsidR="00027B49" w:rsidRPr="00894010" w:rsidRDefault="009415EA" w:rsidP="00027B49">
      <w:r w:rsidRPr="00894010">
        <w:t>Identify names and contact information for the following roles:</w:t>
      </w:r>
    </w:p>
    <w:p w14:paraId="7D32CF1C" w14:textId="67282159" w:rsidR="00027B49" w:rsidRPr="002A6721" w:rsidRDefault="001835E4" w:rsidP="00E436C5">
      <w:pPr>
        <w:spacing w:before="240" w:after="60"/>
      </w:pPr>
      <w:r w:rsidRPr="00774C8C">
        <w:rPr>
          <w:b/>
          <w:bCs/>
          <w:i/>
          <w:iCs/>
        </w:rPr>
        <w:t>B.2.1</w:t>
      </w:r>
      <w:r w:rsidRPr="00774C8C">
        <w:rPr>
          <w:b/>
          <w:bCs/>
          <w:i/>
          <w:iCs/>
        </w:rPr>
        <w:tab/>
      </w:r>
      <w:bookmarkStart w:id="143" w:name="_Toc498950285"/>
      <w:r w:rsidR="00547645" w:rsidRPr="00E436C5">
        <w:rPr>
          <w:b/>
          <w:i/>
        </w:rPr>
        <w:t>Agenc</w:t>
      </w:r>
      <w:r w:rsidR="00027B49" w:rsidRPr="00E436C5">
        <w:rPr>
          <w:b/>
          <w:i/>
        </w:rPr>
        <w:t>y Transition Sponsor</w:t>
      </w:r>
      <w:bookmarkEnd w:id="143"/>
    </w:p>
    <w:p w14:paraId="21406CA5" w14:textId="2A7EB4CE" w:rsidR="00027B49" w:rsidRPr="00894010" w:rsidRDefault="003C7E8A" w:rsidP="002466A5">
      <w:r w:rsidRPr="00894010">
        <w:t>Chief Information Officer (</w:t>
      </w:r>
      <w:r w:rsidR="00547645" w:rsidRPr="00894010">
        <w:t>CIO</w:t>
      </w:r>
      <w:r w:rsidRPr="00894010">
        <w:t>)</w:t>
      </w:r>
      <w:r w:rsidR="00547645" w:rsidRPr="00894010">
        <w:t xml:space="preserve"> (or other) Senior Executive Service Sponsor – Lessons learned from previous transition have highlighted the need for an executive level manager that sponsors the agency’s transition project. The sponsor likely would be the CIO or executive of the organization to which the transition manager and team report or that otherwise provides the financial and human resources for the transition. The sponsor serves as a spokesperson to higher levels of management, is the primary interface and partner to GSA executives, and is the agency’s representative accountable to oversight organizations. Important activities for the Agency Transition Sponsor include approving the agency’s Transition Plan and</w:t>
      </w:r>
      <w:r w:rsidR="006735AE" w:rsidRPr="00894010">
        <w:t xml:space="preserve"> serving as an escalation path.</w:t>
      </w:r>
    </w:p>
    <w:p w14:paraId="3F94B901" w14:textId="7B0AC4AD" w:rsidR="00027B49" w:rsidRPr="007505FE" w:rsidRDefault="001835E4" w:rsidP="00E436C5">
      <w:pPr>
        <w:spacing w:before="240" w:after="60"/>
      </w:pPr>
      <w:r>
        <w:rPr>
          <w:b/>
          <w:bCs/>
          <w:i/>
          <w:iCs/>
        </w:rPr>
        <w:t>B.2.2</w:t>
      </w:r>
      <w:r>
        <w:rPr>
          <w:b/>
          <w:bCs/>
          <w:i/>
          <w:iCs/>
        </w:rPr>
        <w:tab/>
      </w:r>
      <w:bookmarkStart w:id="144" w:name="_Toc498950286"/>
      <w:r w:rsidR="00547645" w:rsidRPr="00E436C5">
        <w:rPr>
          <w:b/>
          <w:i/>
        </w:rPr>
        <w:t>Lead Transition Manager</w:t>
      </w:r>
      <w:bookmarkEnd w:id="144"/>
    </w:p>
    <w:p w14:paraId="478A24A5" w14:textId="20F3946E" w:rsidR="00027B49" w:rsidRPr="00894010" w:rsidRDefault="00547645" w:rsidP="002466A5">
      <w:r w:rsidRPr="00894010">
        <w:t xml:space="preserve">Each agency should have a Lead Transition Manager (LTM) and may also designate other supporting transition managers (TMs). </w:t>
      </w:r>
      <w:r w:rsidR="0035344B" w:rsidRPr="00894010">
        <w:t>The L</w:t>
      </w:r>
      <w:r w:rsidRPr="00894010">
        <w:t>TM acts as the central point of contact for the planning, management, and implementation of the agency’s transition of services from Networx, WITS</w:t>
      </w:r>
      <w:r w:rsidR="000E60B2" w:rsidRPr="00894010">
        <w:t xml:space="preserve"> </w:t>
      </w:r>
      <w:r w:rsidRPr="00894010">
        <w:t xml:space="preserve">3 and </w:t>
      </w:r>
      <w:r w:rsidR="008C4A5F" w:rsidRPr="00894010">
        <w:t>GSA Regional local service</w:t>
      </w:r>
      <w:r w:rsidRPr="00894010">
        <w:t xml:space="preserve"> contracts to EIS.</w:t>
      </w:r>
    </w:p>
    <w:p w14:paraId="19AC9A25" w14:textId="3EFD3B6B" w:rsidR="00027B49" w:rsidRPr="007505FE" w:rsidRDefault="001835E4" w:rsidP="00E436C5">
      <w:pPr>
        <w:spacing w:before="240" w:after="60"/>
      </w:pPr>
      <w:r>
        <w:rPr>
          <w:b/>
          <w:bCs/>
          <w:i/>
          <w:iCs/>
        </w:rPr>
        <w:t>B.2.3</w:t>
      </w:r>
      <w:r>
        <w:rPr>
          <w:b/>
          <w:bCs/>
          <w:i/>
          <w:iCs/>
        </w:rPr>
        <w:tab/>
      </w:r>
      <w:bookmarkStart w:id="145" w:name="_Toc498950287"/>
      <w:r w:rsidR="00547645" w:rsidRPr="00E436C5">
        <w:rPr>
          <w:b/>
          <w:i/>
        </w:rPr>
        <w:t xml:space="preserve">Transition Ordering Contracting </w:t>
      </w:r>
      <w:r w:rsidR="00027B49" w:rsidRPr="00E436C5">
        <w:rPr>
          <w:b/>
          <w:i/>
        </w:rPr>
        <w:t xml:space="preserve">Officer </w:t>
      </w:r>
      <w:bookmarkEnd w:id="145"/>
    </w:p>
    <w:p w14:paraId="4E1DDE04" w14:textId="451AA4AC" w:rsidR="00F0187E" w:rsidRPr="00894010" w:rsidRDefault="00547645" w:rsidP="002466A5">
      <w:r w:rsidRPr="00894010">
        <w:t xml:space="preserve">The agency’s </w:t>
      </w:r>
      <w:r w:rsidR="00E06C5C" w:rsidRPr="00894010">
        <w:t xml:space="preserve">Transition </w:t>
      </w:r>
      <w:r w:rsidRPr="00894010">
        <w:t>Order</w:t>
      </w:r>
      <w:r w:rsidR="00E06C5C" w:rsidRPr="00894010">
        <w:t>ing</w:t>
      </w:r>
      <w:r w:rsidRPr="00894010">
        <w:t xml:space="preserve"> Contracting Officers (TOCOs) are critical to the success of transition and, therefore, must be part of the agency’s transition team from the outset. The TOCO is the agency’s lead for facilitati</w:t>
      </w:r>
      <w:r w:rsidR="009415EA" w:rsidRPr="00894010">
        <w:t xml:space="preserve">ng the use of the EIS </w:t>
      </w:r>
      <w:r w:rsidRPr="00894010">
        <w:t xml:space="preserve">contracts. TOCOs are responsible for following the ordering procedures, including the </w:t>
      </w:r>
      <w:r w:rsidR="00897208" w:rsidRPr="00894010">
        <w:t xml:space="preserve">FO </w:t>
      </w:r>
      <w:r w:rsidRPr="00894010">
        <w:t xml:space="preserve">selection of contractors, in compliance with the Federal Acquisition Regulation (FAR) 16.505, the terms and conditions of the EIS contracts, and any agency policies to place task orders (TOs) on the EIS contracts. The agency should assign TOCOs with experience in telecommunications acquisitions and must ensure the TOCOs completes and receives certification in GSA’s </w:t>
      </w:r>
      <w:r w:rsidR="00C510B5" w:rsidRPr="00894010">
        <w:t>Delegation of</w:t>
      </w:r>
      <w:r w:rsidR="005F2174" w:rsidRPr="00894010">
        <w:t xml:space="preserve"> </w:t>
      </w:r>
      <w:r w:rsidRPr="00894010">
        <w:t>Procurement Authority (DPA)</w:t>
      </w:r>
      <w:r w:rsidR="00C510B5" w:rsidRPr="00894010">
        <w:t xml:space="preserve"> training</w:t>
      </w:r>
      <w:r w:rsidRPr="00894010">
        <w:t xml:space="preserve">. </w:t>
      </w:r>
    </w:p>
    <w:p w14:paraId="70F22E8C" w14:textId="77777777" w:rsidR="00BD4EE9" w:rsidRDefault="00BD4EE9">
      <w:pPr>
        <w:widowControl/>
        <w:autoSpaceDE/>
        <w:autoSpaceDN/>
        <w:adjustRightInd/>
        <w:jc w:val="left"/>
        <w:rPr>
          <w:b/>
          <w:bCs/>
          <w:i/>
          <w:iCs/>
        </w:rPr>
      </w:pPr>
      <w:r>
        <w:rPr>
          <w:b/>
          <w:bCs/>
          <w:i/>
          <w:iCs/>
        </w:rPr>
        <w:br w:type="page"/>
      </w:r>
    </w:p>
    <w:p w14:paraId="266BA8CE" w14:textId="7BFB40CF" w:rsidR="0035344B" w:rsidRPr="007505FE" w:rsidRDefault="001835E4" w:rsidP="00E436C5">
      <w:pPr>
        <w:spacing w:before="240" w:after="60"/>
      </w:pPr>
      <w:r>
        <w:rPr>
          <w:b/>
          <w:bCs/>
          <w:i/>
          <w:iCs/>
        </w:rPr>
        <w:lastRenderedPageBreak/>
        <w:t>B.2.4</w:t>
      </w:r>
      <w:r>
        <w:rPr>
          <w:b/>
          <w:bCs/>
          <w:i/>
          <w:iCs/>
        </w:rPr>
        <w:tab/>
      </w:r>
      <w:bookmarkStart w:id="146" w:name="_Toc498950288"/>
      <w:r w:rsidR="0035344B" w:rsidRPr="00E436C5">
        <w:rPr>
          <w:b/>
          <w:i/>
        </w:rPr>
        <w:t>Escalation Path to Agency Transition Sponsor</w:t>
      </w:r>
      <w:bookmarkEnd w:id="146"/>
    </w:p>
    <w:p w14:paraId="0B37BD9B" w14:textId="77777777" w:rsidR="00027B49" w:rsidRPr="00894010" w:rsidRDefault="0035344B" w:rsidP="002466A5">
      <w:r w:rsidRPr="00894010">
        <w:t>List the management structure (</w:t>
      </w:r>
      <w:r w:rsidR="00E06C5C" w:rsidRPr="00894010">
        <w:t xml:space="preserve">names, roles, </w:t>
      </w:r>
      <w:r w:rsidRPr="00894010">
        <w:t>and contact information) that links the LTM and TOCO to the Agency Transition Sponsor.</w:t>
      </w:r>
    </w:p>
    <w:p w14:paraId="7471A3D2" w14:textId="2629A66C" w:rsidR="00435F1F" w:rsidRPr="007505FE" w:rsidRDefault="001835E4" w:rsidP="00E436C5">
      <w:pPr>
        <w:spacing w:before="240" w:after="60"/>
        <w:rPr>
          <w:bCs/>
          <w:szCs w:val="28"/>
        </w:rPr>
      </w:pPr>
      <w:r>
        <w:rPr>
          <w:b/>
          <w:bCs/>
          <w:sz w:val="28"/>
          <w:szCs w:val="28"/>
        </w:rPr>
        <w:t>B.3</w:t>
      </w:r>
      <w:r>
        <w:rPr>
          <w:b/>
          <w:bCs/>
          <w:sz w:val="28"/>
          <w:szCs w:val="28"/>
        </w:rPr>
        <w:tab/>
      </w:r>
      <w:bookmarkStart w:id="147" w:name="_Toc498950289"/>
      <w:r w:rsidR="00547645" w:rsidRPr="00E436C5">
        <w:rPr>
          <w:b/>
          <w:sz w:val="28"/>
        </w:rPr>
        <w:t xml:space="preserve">Support </w:t>
      </w:r>
      <w:r w:rsidR="00435F1F" w:rsidRPr="00E436C5">
        <w:rPr>
          <w:b/>
          <w:sz w:val="28"/>
        </w:rPr>
        <w:t>Organization</w:t>
      </w:r>
      <w:bookmarkEnd w:id="147"/>
    </w:p>
    <w:p w14:paraId="46A69830" w14:textId="42526A08" w:rsidR="00435F1F" w:rsidRPr="007505FE" w:rsidRDefault="001835E4" w:rsidP="00E436C5">
      <w:pPr>
        <w:spacing w:before="240" w:after="60"/>
      </w:pPr>
      <w:r>
        <w:rPr>
          <w:b/>
          <w:bCs/>
          <w:i/>
          <w:iCs/>
        </w:rPr>
        <w:t>B.3.1</w:t>
      </w:r>
      <w:r>
        <w:rPr>
          <w:b/>
          <w:bCs/>
          <w:i/>
          <w:iCs/>
        </w:rPr>
        <w:tab/>
      </w:r>
      <w:bookmarkStart w:id="148" w:name="_Toc498950290"/>
      <w:r w:rsidR="00435F1F" w:rsidRPr="00E436C5">
        <w:rPr>
          <w:b/>
          <w:i/>
        </w:rPr>
        <w:t>Integrated Transition Team Members</w:t>
      </w:r>
      <w:bookmarkEnd w:id="148"/>
    </w:p>
    <w:p w14:paraId="00294EAB" w14:textId="77777777" w:rsidR="00027B49" w:rsidRDefault="00435F1F" w:rsidP="002466A5">
      <w:r w:rsidRPr="00435F1F">
        <w:t xml:space="preserve">Describe the other organizational functions </w:t>
      </w:r>
      <w:r>
        <w:t xml:space="preserve">within the agency </w:t>
      </w:r>
      <w:r w:rsidRPr="00435F1F">
        <w:t>that will participate in transition planning and execution</w:t>
      </w:r>
      <w:r w:rsidR="0035344B">
        <w:t xml:space="preserve">, such as supporting TMs, </w:t>
      </w:r>
      <w:r w:rsidR="0035344B" w:rsidRPr="0035344B">
        <w:t>financial analysts and billing personnel, local site contacts, information assurance or IT security experts, or network engineers</w:t>
      </w:r>
      <w:r w:rsidR="0035344B">
        <w:t>.</w:t>
      </w:r>
    </w:p>
    <w:p w14:paraId="4BBBB8CF" w14:textId="5D3CCF7F" w:rsidR="00547645" w:rsidRPr="007505FE" w:rsidRDefault="001835E4" w:rsidP="00E436C5">
      <w:pPr>
        <w:spacing w:before="240" w:after="60"/>
      </w:pPr>
      <w:r>
        <w:rPr>
          <w:b/>
          <w:bCs/>
          <w:i/>
          <w:iCs/>
        </w:rPr>
        <w:t>B.3.2</w:t>
      </w:r>
      <w:r>
        <w:rPr>
          <w:b/>
          <w:bCs/>
          <w:i/>
          <w:iCs/>
        </w:rPr>
        <w:tab/>
      </w:r>
      <w:bookmarkStart w:id="149" w:name="_Toc498950291"/>
      <w:r w:rsidR="00435F1F" w:rsidRPr="00E436C5">
        <w:rPr>
          <w:b/>
          <w:i/>
        </w:rPr>
        <w:t xml:space="preserve">Support </w:t>
      </w:r>
      <w:r w:rsidR="00547645" w:rsidRPr="00E436C5">
        <w:rPr>
          <w:b/>
          <w:i/>
        </w:rPr>
        <w:t>Contractors</w:t>
      </w:r>
      <w:bookmarkEnd w:id="149"/>
    </w:p>
    <w:p w14:paraId="7BADAA00" w14:textId="77777777" w:rsidR="00547645" w:rsidRPr="00894010" w:rsidRDefault="00547645" w:rsidP="002466A5">
      <w:r w:rsidRPr="00894010">
        <w:t>Agencies may require contractor support to assist in the following areas:</w:t>
      </w:r>
    </w:p>
    <w:p w14:paraId="505FB131" w14:textId="77777777" w:rsidR="00547645" w:rsidRPr="00894010" w:rsidRDefault="00547645" w:rsidP="000567A5">
      <w:pPr>
        <w:pStyle w:val="ListParagraph"/>
        <w:numPr>
          <w:ilvl w:val="0"/>
          <w:numId w:val="36"/>
        </w:numPr>
      </w:pPr>
      <w:r w:rsidRPr="00894010">
        <w:t>Inventory information gathering</w:t>
      </w:r>
    </w:p>
    <w:p w14:paraId="021D93EC" w14:textId="77777777" w:rsidR="00547645" w:rsidRPr="00894010" w:rsidRDefault="00547645" w:rsidP="000567A5">
      <w:pPr>
        <w:pStyle w:val="ListParagraph"/>
        <w:numPr>
          <w:ilvl w:val="0"/>
          <w:numId w:val="36"/>
        </w:numPr>
      </w:pPr>
      <w:r w:rsidRPr="00894010">
        <w:t>Inventory validation</w:t>
      </w:r>
    </w:p>
    <w:p w14:paraId="43C08686" w14:textId="77777777" w:rsidR="00547645" w:rsidRPr="00894010" w:rsidRDefault="00547645" w:rsidP="000567A5">
      <w:pPr>
        <w:pStyle w:val="ListParagraph"/>
        <w:numPr>
          <w:ilvl w:val="0"/>
          <w:numId w:val="36"/>
        </w:numPr>
      </w:pPr>
      <w:r w:rsidRPr="00894010">
        <w:t>Transition Plan writing or review of vendor agency transition planning documents</w:t>
      </w:r>
    </w:p>
    <w:p w14:paraId="4BF58897" w14:textId="77777777" w:rsidR="00547645" w:rsidRPr="00894010" w:rsidRDefault="00547645" w:rsidP="000567A5">
      <w:pPr>
        <w:pStyle w:val="ListParagraph"/>
        <w:numPr>
          <w:ilvl w:val="0"/>
          <w:numId w:val="36"/>
        </w:numPr>
      </w:pPr>
      <w:r w:rsidRPr="00894010">
        <w:t>Technical assistance in assuring that services are ordered to replace existing services</w:t>
      </w:r>
    </w:p>
    <w:p w14:paraId="2585E565" w14:textId="77777777" w:rsidR="00547645" w:rsidRPr="00894010" w:rsidRDefault="00547645" w:rsidP="000567A5">
      <w:pPr>
        <w:pStyle w:val="ListParagraph"/>
        <w:numPr>
          <w:ilvl w:val="0"/>
          <w:numId w:val="36"/>
        </w:numPr>
      </w:pPr>
      <w:r w:rsidRPr="00894010">
        <w:t>Defining requirements and selecting contractors through the FO process</w:t>
      </w:r>
    </w:p>
    <w:p w14:paraId="1CBE13AF" w14:textId="04F1B3FF" w:rsidR="00547645" w:rsidRPr="00894010" w:rsidRDefault="00547645" w:rsidP="000567A5">
      <w:pPr>
        <w:pStyle w:val="ListParagraph"/>
        <w:numPr>
          <w:ilvl w:val="0"/>
          <w:numId w:val="36"/>
        </w:numPr>
      </w:pPr>
      <w:r w:rsidRPr="00894010">
        <w:t xml:space="preserve">Order writing: </w:t>
      </w:r>
      <w:r w:rsidR="009E0771" w:rsidRPr="00894010">
        <w:t xml:space="preserve">both </w:t>
      </w:r>
      <w:r w:rsidRPr="00894010">
        <w:t>installation orders and disconnect orders</w:t>
      </w:r>
    </w:p>
    <w:p w14:paraId="4305D8B2" w14:textId="77777777" w:rsidR="00547645" w:rsidRPr="00894010" w:rsidRDefault="00547645" w:rsidP="000567A5">
      <w:pPr>
        <w:pStyle w:val="ListParagraph"/>
        <w:numPr>
          <w:ilvl w:val="0"/>
          <w:numId w:val="36"/>
        </w:numPr>
      </w:pPr>
      <w:r w:rsidRPr="00894010">
        <w:t>Technical assistance at the time of transition to assist in problem resolution</w:t>
      </w:r>
    </w:p>
    <w:p w14:paraId="52570060" w14:textId="77777777" w:rsidR="00547645" w:rsidRPr="00894010" w:rsidRDefault="00547645" w:rsidP="000567A5">
      <w:pPr>
        <w:pStyle w:val="ListParagraph"/>
        <w:numPr>
          <w:ilvl w:val="0"/>
          <w:numId w:val="36"/>
        </w:numPr>
      </w:pPr>
      <w:r w:rsidRPr="00894010">
        <w:t>Site surveys to assure that agency facilities are ready for vendor installation of services and equipment</w:t>
      </w:r>
    </w:p>
    <w:p w14:paraId="6EB6494D" w14:textId="5B59D5B7" w:rsidR="00027B49" w:rsidRPr="00894010" w:rsidRDefault="00547645" w:rsidP="000567A5">
      <w:pPr>
        <w:pStyle w:val="ListParagraph"/>
        <w:numPr>
          <w:ilvl w:val="0"/>
          <w:numId w:val="36"/>
        </w:numPr>
      </w:pPr>
      <w:r w:rsidRPr="00894010">
        <w:t>Transition scheduling and transition tracking</w:t>
      </w:r>
      <w:r w:rsidR="009E0771" w:rsidRPr="00894010">
        <w:t>.</w:t>
      </w:r>
    </w:p>
    <w:p w14:paraId="6226F46C" w14:textId="5CEC24D0" w:rsidR="00547645" w:rsidRPr="007505FE" w:rsidRDefault="001835E4" w:rsidP="00E436C5">
      <w:pPr>
        <w:spacing w:before="240" w:after="60"/>
      </w:pPr>
      <w:r>
        <w:rPr>
          <w:b/>
          <w:bCs/>
          <w:i/>
          <w:iCs/>
        </w:rPr>
        <w:t>B.3.3</w:t>
      </w:r>
      <w:r>
        <w:rPr>
          <w:b/>
          <w:bCs/>
          <w:i/>
          <w:iCs/>
        </w:rPr>
        <w:tab/>
      </w:r>
      <w:bookmarkStart w:id="150" w:name="_Toc498950292"/>
      <w:r w:rsidR="00547645" w:rsidRPr="00E436C5">
        <w:rPr>
          <w:b/>
          <w:i/>
        </w:rPr>
        <w:t>AHC Structure</w:t>
      </w:r>
      <w:bookmarkEnd w:id="150"/>
    </w:p>
    <w:p w14:paraId="0B7BD158" w14:textId="2B63D280" w:rsidR="00027B49" w:rsidRDefault="00796DD2" w:rsidP="002466A5">
      <w:r>
        <w:t>Identify</w:t>
      </w:r>
      <w:r w:rsidR="00547645">
        <w:t xml:space="preserve"> what AHCs fall under the authority or scop</w:t>
      </w:r>
      <w:r w:rsidR="00140695">
        <w:t>e of the agency for transition.</w:t>
      </w:r>
    </w:p>
    <w:p w14:paraId="281AC4FB" w14:textId="3B956EBE" w:rsidR="00027B49" w:rsidRPr="007505FE" w:rsidRDefault="001835E4" w:rsidP="00E436C5">
      <w:pPr>
        <w:spacing w:before="240" w:after="60"/>
        <w:rPr>
          <w:bCs/>
          <w:szCs w:val="28"/>
        </w:rPr>
      </w:pPr>
      <w:r>
        <w:rPr>
          <w:b/>
          <w:bCs/>
          <w:sz w:val="28"/>
          <w:szCs w:val="28"/>
        </w:rPr>
        <w:t>B.4</w:t>
      </w:r>
      <w:r>
        <w:rPr>
          <w:b/>
          <w:bCs/>
          <w:sz w:val="28"/>
          <w:szCs w:val="28"/>
        </w:rPr>
        <w:tab/>
      </w:r>
      <w:bookmarkStart w:id="151" w:name="_Toc498950293"/>
      <w:r w:rsidR="00547645" w:rsidRPr="00E436C5">
        <w:rPr>
          <w:b/>
          <w:sz w:val="28"/>
        </w:rPr>
        <w:t>Strategy</w:t>
      </w:r>
      <w:bookmarkEnd w:id="151"/>
    </w:p>
    <w:p w14:paraId="2603AAE0" w14:textId="168D6DDD" w:rsidR="00547645" w:rsidRPr="007505FE" w:rsidRDefault="004547CF" w:rsidP="00E436C5">
      <w:pPr>
        <w:spacing w:before="240" w:after="60"/>
      </w:pPr>
      <w:r>
        <w:rPr>
          <w:b/>
          <w:bCs/>
          <w:i/>
          <w:iCs/>
        </w:rPr>
        <w:t>B.4.1</w:t>
      </w:r>
      <w:r>
        <w:rPr>
          <w:b/>
          <w:bCs/>
          <w:i/>
          <w:iCs/>
        </w:rPr>
        <w:tab/>
      </w:r>
      <w:bookmarkStart w:id="152" w:name="_Toc498950294"/>
      <w:r w:rsidR="00547645" w:rsidRPr="00E436C5">
        <w:rPr>
          <w:b/>
          <w:i/>
        </w:rPr>
        <w:t>Agency priorities and objectives during transition</w:t>
      </w:r>
      <w:bookmarkEnd w:id="152"/>
    </w:p>
    <w:p w14:paraId="75BF171B" w14:textId="77777777" w:rsidR="00547645" w:rsidRPr="00894010" w:rsidRDefault="00547645" w:rsidP="000567A5">
      <w:pPr>
        <w:pStyle w:val="ListParagraph"/>
        <w:numPr>
          <w:ilvl w:val="0"/>
          <w:numId w:val="36"/>
        </w:numPr>
      </w:pPr>
      <w:r w:rsidRPr="00894010">
        <w:t>Like for like, transformations, enhancements</w:t>
      </w:r>
    </w:p>
    <w:p w14:paraId="3EE66ECE" w14:textId="77777777" w:rsidR="00547645" w:rsidRPr="00894010" w:rsidRDefault="00547645" w:rsidP="000567A5">
      <w:pPr>
        <w:pStyle w:val="ListParagraph"/>
        <w:numPr>
          <w:ilvl w:val="0"/>
          <w:numId w:val="36"/>
        </w:numPr>
      </w:pPr>
      <w:r w:rsidRPr="00894010">
        <w:t>Competing or complementary activities</w:t>
      </w:r>
    </w:p>
    <w:p w14:paraId="2935A263" w14:textId="421F5A44" w:rsidR="00547645" w:rsidRPr="00894010" w:rsidRDefault="00547645" w:rsidP="000567A5">
      <w:pPr>
        <w:pStyle w:val="ListParagraph"/>
        <w:numPr>
          <w:ilvl w:val="0"/>
          <w:numId w:val="36"/>
        </w:numPr>
      </w:pPr>
      <w:r w:rsidRPr="00894010">
        <w:t>Verification and testing</w:t>
      </w:r>
    </w:p>
    <w:p w14:paraId="09A389BC" w14:textId="2F8F3A5D" w:rsidR="00547645" w:rsidRPr="007505FE" w:rsidRDefault="004547CF" w:rsidP="00E436C5">
      <w:pPr>
        <w:spacing w:before="240" w:after="60"/>
      </w:pPr>
      <w:r>
        <w:rPr>
          <w:b/>
          <w:bCs/>
          <w:i/>
          <w:iCs/>
        </w:rPr>
        <w:t>B.4.2</w:t>
      </w:r>
      <w:r>
        <w:rPr>
          <w:b/>
          <w:bCs/>
          <w:i/>
          <w:iCs/>
        </w:rPr>
        <w:tab/>
      </w:r>
      <w:bookmarkStart w:id="153" w:name="_Toc498950295"/>
      <w:r w:rsidR="00547645" w:rsidRPr="00E436C5">
        <w:rPr>
          <w:b/>
          <w:i/>
        </w:rPr>
        <w:t xml:space="preserve">FO </w:t>
      </w:r>
      <w:bookmarkEnd w:id="153"/>
      <w:r w:rsidR="003A6A69" w:rsidRPr="00774C8C">
        <w:rPr>
          <w:b/>
          <w:bCs/>
          <w:i/>
          <w:iCs/>
        </w:rPr>
        <w:t>D</w:t>
      </w:r>
      <w:r w:rsidR="00547645" w:rsidRPr="00774C8C">
        <w:rPr>
          <w:b/>
          <w:bCs/>
          <w:i/>
          <w:iCs/>
        </w:rPr>
        <w:t>ecisions</w:t>
      </w:r>
    </w:p>
    <w:p w14:paraId="61E795A3" w14:textId="0E9E8E6B" w:rsidR="00547645" w:rsidRPr="00894010" w:rsidRDefault="00547645" w:rsidP="000567A5">
      <w:pPr>
        <w:pStyle w:val="ListParagraph"/>
        <w:numPr>
          <w:ilvl w:val="0"/>
          <w:numId w:val="36"/>
        </w:numPr>
      </w:pPr>
      <w:r w:rsidRPr="00894010">
        <w:t xml:space="preserve">Approach </w:t>
      </w:r>
      <w:r w:rsidR="00796DD2" w:rsidRPr="00894010">
        <w:t>for solicitations to select EIS contractor(s)</w:t>
      </w:r>
      <w:r w:rsidR="003A6A69" w:rsidRPr="00894010">
        <w:t>;</w:t>
      </w:r>
      <w:r w:rsidR="00796DD2" w:rsidRPr="00894010">
        <w:t xml:space="preserve">  </w:t>
      </w:r>
      <w:r w:rsidR="00BB5E06" w:rsidRPr="00894010">
        <w:t xml:space="preserve">describe </w:t>
      </w:r>
      <w:r w:rsidR="00796DD2" w:rsidRPr="00894010">
        <w:t>the scope of requirements to be grouped into each solicitation</w:t>
      </w:r>
      <w:r w:rsidRPr="00894010">
        <w:t>, quantity</w:t>
      </w:r>
      <w:r w:rsidR="00796DD2" w:rsidRPr="00894010">
        <w:t xml:space="preserve"> of solicitations and expected resulting task order(s)</w:t>
      </w:r>
      <w:r w:rsidRPr="00894010">
        <w:t>,</w:t>
      </w:r>
      <w:r w:rsidR="00796DD2" w:rsidRPr="00894010">
        <w:t xml:space="preserve"> evaluation</w:t>
      </w:r>
      <w:r w:rsidRPr="00894010">
        <w:t xml:space="preserve"> criteria, staff quantity and skill level</w:t>
      </w:r>
      <w:r w:rsidR="00796DD2" w:rsidRPr="00894010">
        <w:t xml:space="preserve"> of source selection team</w:t>
      </w:r>
    </w:p>
    <w:p w14:paraId="0C646BBB" w14:textId="72A98102" w:rsidR="00547645" w:rsidRPr="00894010" w:rsidRDefault="00796DD2" w:rsidP="000567A5">
      <w:pPr>
        <w:pStyle w:val="ListParagraph"/>
        <w:numPr>
          <w:ilvl w:val="0"/>
          <w:numId w:val="36"/>
        </w:numPr>
      </w:pPr>
      <w:r w:rsidRPr="00894010">
        <w:t xml:space="preserve">Requested </w:t>
      </w:r>
      <w:r w:rsidR="00547645" w:rsidRPr="00894010">
        <w:t xml:space="preserve">GSA </w:t>
      </w:r>
      <w:r w:rsidRPr="00894010">
        <w:t>assistance, such as</w:t>
      </w:r>
      <w:r w:rsidR="00547645" w:rsidRPr="00894010">
        <w:t>:  acquisition support, GSA-assisted</w:t>
      </w:r>
      <w:r w:rsidRPr="00894010">
        <w:t xml:space="preserve"> transition</w:t>
      </w:r>
      <w:r w:rsidR="00547645" w:rsidRPr="00894010">
        <w:t xml:space="preserve">, </w:t>
      </w:r>
      <w:r w:rsidRPr="00894010">
        <w:t xml:space="preserve">training, </w:t>
      </w:r>
      <w:r w:rsidR="00547645" w:rsidRPr="00894010">
        <w:t>or self-help with GSA guidance</w:t>
      </w:r>
      <w:r w:rsidR="00BB5E06" w:rsidRPr="00894010">
        <w:t>.</w:t>
      </w:r>
    </w:p>
    <w:p w14:paraId="03858C6D" w14:textId="280177F9" w:rsidR="00547645" w:rsidRPr="007505FE" w:rsidRDefault="004547CF" w:rsidP="00E436C5">
      <w:pPr>
        <w:spacing w:before="240" w:after="60"/>
      </w:pPr>
      <w:r>
        <w:rPr>
          <w:b/>
          <w:bCs/>
          <w:i/>
          <w:iCs/>
        </w:rPr>
        <w:lastRenderedPageBreak/>
        <w:t>B.4.3</w:t>
      </w:r>
      <w:r>
        <w:rPr>
          <w:b/>
          <w:bCs/>
          <w:i/>
          <w:iCs/>
        </w:rPr>
        <w:tab/>
      </w:r>
      <w:bookmarkStart w:id="154" w:name="_Toc498950296"/>
      <w:r w:rsidR="00547645" w:rsidRPr="00E436C5">
        <w:rPr>
          <w:b/>
          <w:i/>
        </w:rPr>
        <w:t>Schedule</w:t>
      </w:r>
      <w:bookmarkEnd w:id="154"/>
    </w:p>
    <w:p w14:paraId="3568DA82" w14:textId="14F15DF5" w:rsidR="00027B49" w:rsidRDefault="00547645" w:rsidP="002466A5">
      <w:r>
        <w:t>Include milestones from master schedule</w:t>
      </w:r>
      <w:r w:rsidR="00F3566C">
        <w:t xml:space="preserve"> and additional detail of activities</w:t>
      </w:r>
      <w:r w:rsidR="00796DD2">
        <w:t>.</w:t>
      </w:r>
      <w:r w:rsidR="00F16EF9">
        <w:t xml:space="preserve">  Include expected release and award dates for each FO decision.</w:t>
      </w:r>
    </w:p>
    <w:p w14:paraId="12938DD0" w14:textId="7791CD40" w:rsidR="00027B49" w:rsidRPr="007505FE" w:rsidRDefault="004547CF" w:rsidP="00E436C5">
      <w:pPr>
        <w:spacing w:before="240" w:after="60"/>
        <w:rPr>
          <w:bCs/>
          <w:szCs w:val="28"/>
        </w:rPr>
      </w:pPr>
      <w:r>
        <w:rPr>
          <w:b/>
          <w:bCs/>
          <w:sz w:val="28"/>
          <w:szCs w:val="28"/>
        </w:rPr>
        <w:t>B.5</w:t>
      </w:r>
      <w:r>
        <w:rPr>
          <w:b/>
          <w:bCs/>
          <w:sz w:val="28"/>
          <w:szCs w:val="28"/>
        </w:rPr>
        <w:tab/>
      </w:r>
      <w:bookmarkStart w:id="155" w:name="_Toc498950297"/>
      <w:r w:rsidR="00547645" w:rsidRPr="00E436C5">
        <w:rPr>
          <w:b/>
          <w:sz w:val="28"/>
        </w:rPr>
        <w:t>Inventory Analysis</w:t>
      </w:r>
      <w:bookmarkEnd w:id="155"/>
    </w:p>
    <w:p w14:paraId="41B41D35" w14:textId="658AB840" w:rsidR="00027B49" w:rsidRPr="007505FE" w:rsidRDefault="004547CF" w:rsidP="00E436C5">
      <w:pPr>
        <w:spacing w:before="240" w:after="60"/>
      </w:pPr>
      <w:r>
        <w:rPr>
          <w:b/>
          <w:bCs/>
          <w:i/>
          <w:iCs/>
        </w:rPr>
        <w:t>B.5.1</w:t>
      </w:r>
      <w:r>
        <w:rPr>
          <w:b/>
          <w:bCs/>
          <w:i/>
          <w:iCs/>
        </w:rPr>
        <w:tab/>
      </w:r>
      <w:bookmarkStart w:id="156" w:name="_Toc498950298"/>
      <w:r w:rsidR="00547645" w:rsidRPr="00E436C5">
        <w:rPr>
          <w:b/>
          <w:i/>
        </w:rPr>
        <w:t>Summary by service type, quantities, locations</w:t>
      </w:r>
      <w:bookmarkEnd w:id="156"/>
    </w:p>
    <w:p w14:paraId="35D16062" w14:textId="6807426B" w:rsidR="00027B49" w:rsidRPr="007505FE" w:rsidRDefault="004547CF" w:rsidP="00E436C5">
      <w:pPr>
        <w:spacing w:before="240" w:after="60"/>
      </w:pPr>
      <w:r>
        <w:rPr>
          <w:b/>
          <w:bCs/>
          <w:i/>
          <w:iCs/>
        </w:rPr>
        <w:t>B.5.2</w:t>
      </w:r>
      <w:r>
        <w:rPr>
          <w:b/>
          <w:bCs/>
          <w:i/>
          <w:iCs/>
        </w:rPr>
        <w:tab/>
      </w:r>
      <w:bookmarkStart w:id="157" w:name="_Toc498950299"/>
      <w:r w:rsidR="00547645" w:rsidRPr="00E436C5">
        <w:rPr>
          <w:b/>
          <w:i/>
        </w:rPr>
        <w:t>Equipment condition</w:t>
      </w:r>
      <w:bookmarkEnd w:id="157"/>
    </w:p>
    <w:p w14:paraId="3C6B592F" w14:textId="7E129FDF" w:rsidR="00027B49" w:rsidRPr="007505FE" w:rsidRDefault="004547CF" w:rsidP="00E436C5">
      <w:pPr>
        <w:spacing w:before="240" w:after="60"/>
      </w:pPr>
      <w:r>
        <w:rPr>
          <w:b/>
          <w:bCs/>
          <w:i/>
          <w:iCs/>
        </w:rPr>
        <w:t>B.5.3</w:t>
      </w:r>
      <w:r>
        <w:rPr>
          <w:b/>
          <w:bCs/>
          <w:i/>
          <w:iCs/>
        </w:rPr>
        <w:tab/>
      </w:r>
      <w:bookmarkStart w:id="158" w:name="_Toc498950300"/>
      <w:r w:rsidR="00547645" w:rsidRPr="00E436C5">
        <w:rPr>
          <w:b/>
          <w:i/>
        </w:rPr>
        <w:t>Confirmation status</w:t>
      </w:r>
      <w:bookmarkEnd w:id="158"/>
    </w:p>
    <w:p w14:paraId="7D4921C8" w14:textId="3173449F" w:rsidR="00027B49" w:rsidRPr="007505FE" w:rsidRDefault="004547CF" w:rsidP="00E436C5">
      <w:pPr>
        <w:spacing w:before="240" w:after="60"/>
        <w:rPr>
          <w:bCs/>
          <w:szCs w:val="28"/>
        </w:rPr>
      </w:pPr>
      <w:r>
        <w:rPr>
          <w:b/>
          <w:bCs/>
          <w:sz w:val="28"/>
          <w:szCs w:val="28"/>
        </w:rPr>
        <w:t>B.6</w:t>
      </w:r>
      <w:r>
        <w:rPr>
          <w:b/>
          <w:bCs/>
          <w:sz w:val="28"/>
          <w:szCs w:val="28"/>
        </w:rPr>
        <w:tab/>
      </w:r>
      <w:bookmarkStart w:id="159" w:name="_Toc498950301"/>
      <w:r w:rsidR="00027B49" w:rsidRPr="00E436C5">
        <w:rPr>
          <w:b/>
          <w:sz w:val="28"/>
        </w:rPr>
        <w:t>Mission Analysis</w:t>
      </w:r>
      <w:bookmarkEnd w:id="159"/>
    </w:p>
    <w:p w14:paraId="79A20152" w14:textId="0EEEFF7E" w:rsidR="00140695" w:rsidRPr="007505FE" w:rsidRDefault="004547CF" w:rsidP="00E436C5">
      <w:pPr>
        <w:spacing w:before="240" w:after="60"/>
      </w:pPr>
      <w:r>
        <w:rPr>
          <w:b/>
          <w:bCs/>
          <w:i/>
          <w:iCs/>
        </w:rPr>
        <w:t>B.6.1</w:t>
      </w:r>
      <w:r>
        <w:rPr>
          <w:b/>
          <w:bCs/>
          <w:i/>
          <w:iCs/>
        </w:rPr>
        <w:tab/>
      </w:r>
      <w:bookmarkStart w:id="160" w:name="_Toc498950302"/>
      <w:r w:rsidR="00547645" w:rsidRPr="00E436C5">
        <w:rPr>
          <w:b/>
          <w:i/>
        </w:rPr>
        <w:t>Constraints</w:t>
      </w:r>
      <w:bookmarkEnd w:id="160"/>
    </w:p>
    <w:p w14:paraId="571996CE" w14:textId="330070FA" w:rsidR="00027B49" w:rsidRPr="00894010" w:rsidRDefault="00140695" w:rsidP="002466A5">
      <w:r w:rsidRPr="00894010">
        <w:t xml:space="preserve">Discuss </w:t>
      </w:r>
      <w:r w:rsidR="0098097A" w:rsidRPr="00894010">
        <w:t>moratoriums, blackout or quiet periods, planned projects affecting transition, and new mission plans</w:t>
      </w:r>
      <w:r w:rsidR="00BB5E06" w:rsidRPr="00894010">
        <w:t>.</w:t>
      </w:r>
    </w:p>
    <w:p w14:paraId="0BBB4BF5" w14:textId="2938F3C3" w:rsidR="00027B49" w:rsidRPr="007505FE" w:rsidRDefault="004547CF" w:rsidP="00E436C5">
      <w:pPr>
        <w:spacing w:before="240" w:after="60"/>
      </w:pPr>
      <w:r>
        <w:rPr>
          <w:b/>
          <w:bCs/>
          <w:i/>
          <w:iCs/>
        </w:rPr>
        <w:t>B.6.2</w:t>
      </w:r>
      <w:r>
        <w:rPr>
          <w:b/>
          <w:bCs/>
          <w:i/>
          <w:iCs/>
        </w:rPr>
        <w:tab/>
      </w:r>
      <w:bookmarkStart w:id="161" w:name="_Toc498950303"/>
      <w:r w:rsidR="00547645" w:rsidRPr="00E436C5">
        <w:rPr>
          <w:b/>
          <w:i/>
        </w:rPr>
        <w:t>Risks</w:t>
      </w:r>
      <w:bookmarkEnd w:id="161"/>
    </w:p>
    <w:p w14:paraId="2B5DB7CB" w14:textId="2867601A" w:rsidR="00945EA7" w:rsidRPr="007505FE" w:rsidRDefault="004547CF" w:rsidP="00E436C5">
      <w:pPr>
        <w:spacing w:before="240" w:after="60"/>
      </w:pPr>
      <w:r>
        <w:rPr>
          <w:b/>
          <w:bCs/>
          <w:i/>
          <w:iCs/>
        </w:rPr>
        <w:t>B.6.3</w:t>
      </w:r>
      <w:r>
        <w:rPr>
          <w:b/>
          <w:bCs/>
          <w:i/>
          <w:iCs/>
        </w:rPr>
        <w:tab/>
      </w:r>
      <w:bookmarkStart w:id="162" w:name="_Toc498950304"/>
      <w:r w:rsidR="00547645" w:rsidRPr="00E436C5">
        <w:rPr>
          <w:b/>
          <w:i/>
        </w:rPr>
        <w:t>Jeopardies</w:t>
      </w:r>
      <w:bookmarkEnd w:id="162"/>
    </w:p>
    <w:p w14:paraId="4560ACA7" w14:textId="77777777" w:rsidR="004448DF" w:rsidRPr="00E436C5" w:rsidRDefault="004448DF" w:rsidP="00E436C5">
      <w:pPr>
        <w:spacing w:before="240" w:after="60"/>
        <w:rPr>
          <w:b/>
          <w:i/>
        </w:rPr>
        <w:sectPr w:rsidR="004448DF" w:rsidRPr="00E436C5" w:rsidSect="00040F3E">
          <w:footerReference w:type="first" r:id="rId32"/>
          <w:pgSz w:w="12240" w:h="15840" w:code="1"/>
          <w:pgMar w:top="1440" w:right="1440" w:bottom="1440" w:left="1440" w:header="720" w:footer="720" w:gutter="0"/>
          <w:cols w:space="720"/>
          <w:titlePg/>
          <w:docGrid w:linePitch="360"/>
        </w:sectPr>
      </w:pPr>
    </w:p>
    <w:p w14:paraId="28CC6E91" w14:textId="77777777" w:rsidR="007B2419" w:rsidRDefault="007B2419" w:rsidP="00E436C5">
      <w:pPr>
        <w:pStyle w:val="Appendix"/>
        <w:ind w:left="1008" w:hanging="720"/>
        <w:jc w:val="center"/>
      </w:pPr>
      <w:bookmarkStart w:id="163" w:name="_Toc12525484"/>
      <w:bookmarkStart w:id="164" w:name="_Toc498950305"/>
      <w:bookmarkStart w:id="165" w:name="_Toc107325315"/>
      <w:r>
        <w:lastRenderedPageBreak/>
        <w:t>A</w:t>
      </w:r>
      <w:r w:rsidRPr="00870F52">
        <w:t xml:space="preserve">ppendix </w:t>
      </w:r>
      <w:r>
        <w:t>C</w:t>
      </w:r>
      <w:r w:rsidRPr="00870F52">
        <w:t xml:space="preserve"> – </w:t>
      </w:r>
      <w:r>
        <w:t xml:space="preserve">List of </w:t>
      </w:r>
      <w:r w:rsidR="0046638B">
        <w:t xml:space="preserve">FTS2001 to Networx </w:t>
      </w:r>
      <w:r>
        <w:t>Lessons Learned</w:t>
      </w:r>
      <w:bookmarkEnd w:id="163"/>
      <w:bookmarkEnd w:id="164"/>
      <w:bookmarkEnd w:id="165"/>
    </w:p>
    <w:p w14:paraId="45BA79BB" w14:textId="77777777" w:rsidR="007B2419" w:rsidRDefault="007B2419" w:rsidP="007B2419"/>
    <w:tbl>
      <w:tblPr>
        <w:tblStyle w:val="TableGrid"/>
        <w:tblW w:w="0" w:type="auto"/>
        <w:tblLook w:val="04A0" w:firstRow="1" w:lastRow="0" w:firstColumn="1" w:lastColumn="0" w:noHBand="0" w:noVBand="1"/>
      </w:tblPr>
      <w:tblGrid>
        <w:gridCol w:w="843"/>
        <w:gridCol w:w="8507"/>
      </w:tblGrid>
      <w:tr w:rsidR="001B65B8" w:rsidRPr="001B65B8" w14:paraId="670EE2C2" w14:textId="77777777" w:rsidTr="0097702B">
        <w:trPr>
          <w:trHeight w:val="503"/>
        </w:trPr>
        <w:tc>
          <w:tcPr>
            <w:tcW w:w="843" w:type="dxa"/>
            <w:noWrap/>
            <w:hideMark/>
          </w:tcPr>
          <w:p w14:paraId="1DDCD899" w14:textId="77777777" w:rsidR="001B65B8" w:rsidRPr="001B65B8" w:rsidRDefault="001B65B8" w:rsidP="001B65B8">
            <w:pPr>
              <w:rPr>
                <w:b/>
                <w:bCs/>
              </w:rPr>
            </w:pPr>
            <w:r w:rsidRPr="001B65B8">
              <w:rPr>
                <w:b/>
                <w:bCs/>
              </w:rPr>
              <w:t>LL #</w:t>
            </w:r>
          </w:p>
        </w:tc>
        <w:tc>
          <w:tcPr>
            <w:tcW w:w="8616" w:type="dxa"/>
            <w:hideMark/>
          </w:tcPr>
          <w:p w14:paraId="3C6E1B02" w14:textId="77777777" w:rsidR="001B65B8" w:rsidRPr="001B65B8" w:rsidRDefault="001B65B8" w:rsidP="001B65B8">
            <w:pPr>
              <w:rPr>
                <w:b/>
                <w:bCs/>
              </w:rPr>
            </w:pPr>
            <w:r>
              <w:rPr>
                <w:b/>
                <w:bCs/>
              </w:rPr>
              <w:t>Lesson</w:t>
            </w:r>
          </w:p>
        </w:tc>
      </w:tr>
      <w:tr w:rsidR="001B65B8" w:rsidRPr="001B65B8" w14:paraId="0001AC8B" w14:textId="77777777" w:rsidTr="0097702B">
        <w:trPr>
          <w:trHeight w:val="870"/>
        </w:trPr>
        <w:tc>
          <w:tcPr>
            <w:tcW w:w="843" w:type="dxa"/>
            <w:hideMark/>
          </w:tcPr>
          <w:p w14:paraId="411E0DCF" w14:textId="77777777" w:rsidR="001B65B8" w:rsidRPr="001B65B8" w:rsidRDefault="001B65B8" w:rsidP="001B65B8">
            <w:r w:rsidRPr="001B65B8">
              <w:t>1</w:t>
            </w:r>
          </w:p>
        </w:tc>
        <w:tc>
          <w:tcPr>
            <w:tcW w:w="8616" w:type="dxa"/>
            <w:hideMark/>
          </w:tcPr>
          <w:p w14:paraId="3904962A" w14:textId="77777777" w:rsidR="001B65B8" w:rsidRPr="001B65B8" w:rsidRDefault="001B65B8">
            <w:r w:rsidRPr="001B65B8">
              <w:t xml:space="preserve">The replacement of the telecommunications infrastructure for a large part of the federal community is a huge task.  The transition stakeholders (that is GSA, the user Agencies and the gaining service providers) need to be fully prepared for the undertaking. </w:t>
            </w:r>
          </w:p>
        </w:tc>
      </w:tr>
      <w:tr w:rsidR="001B65B8" w:rsidRPr="001B65B8" w14:paraId="56CB7A7F" w14:textId="77777777" w:rsidTr="0097702B">
        <w:trPr>
          <w:trHeight w:val="585"/>
        </w:trPr>
        <w:tc>
          <w:tcPr>
            <w:tcW w:w="843" w:type="dxa"/>
            <w:hideMark/>
          </w:tcPr>
          <w:p w14:paraId="5B44F775" w14:textId="77777777" w:rsidR="001B65B8" w:rsidRPr="001B65B8" w:rsidRDefault="001B65B8" w:rsidP="001B65B8">
            <w:r w:rsidRPr="001B65B8">
              <w:t>2</w:t>
            </w:r>
          </w:p>
        </w:tc>
        <w:tc>
          <w:tcPr>
            <w:tcW w:w="8616" w:type="dxa"/>
            <w:hideMark/>
          </w:tcPr>
          <w:p w14:paraId="7FD62EB9" w14:textId="77777777" w:rsidR="001B65B8" w:rsidRPr="001B65B8" w:rsidRDefault="001B65B8">
            <w:r w:rsidRPr="001B65B8">
              <w:t xml:space="preserve">A funding mechanism like the Transition Fund is strongly recommended for any future transition efforts similar to FTS2001.  </w:t>
            </w:r>
          </w:p>
        </w:tc>
      </w:tr>
      <w:tr w:rsidR="001B65B8" w:rsidRPr="001B65B8" w14:paraId="0D20388E" w14:textId="77777777" w:rsidTr="0097702B">
        <w:trPr>
          <w:trHeight w:val="870"/>
        </w:trPr>
        <w:tc>
          <w:tcPr>
            <w:tcW w:w="843" w:type="dxa"/>
            <w:hideMark/>
          </w:tcPr>
          <w:p w14:paraId="57274DC0" w14:textId="77777777" w:rsidR="001B65B8" w:rsidRPr="001B65B8" w:rsidRDefault="001B65B8" w:rsidP="001B65B8">
            <w:r w:rsidRPr="001B65B8">
              <w:t>3</w:t>
            </w:r>
          </w:p>
        </w:tc>
        <w:tc>
          <w:tcPr>
            <w:tcW w:w="8616" w:type="dxa"/>
            <w:hideMark/>
          </w:tcPr>
          <w:p w14:paraId="19DEA302" w14:textId="77777777" w:rsidR="001B65B8" w:rsidRPr="001B65B8" w:rsidRDefault="001B65B8">
            <w:r w:rsidRPr="001B65B8">
              <w:t xml:space="preserve">To make Agency resource planning easier, it is recommended that guidelines based on the “Taxonomy” document be established early enough in the budget cycle for Agencies to do the financial planning required to ensure that needed resources are available.  </w:t>
            </w:r>
          </w:p>
        </w:tc>
      </w:tr>
      <w:tr w:rsidR="001B65B8" w:rsidRPr="001B65B8" w14:paraId="6E289343" w14:textId="77777777" w:rsidTr="0097702B">
        <w:trPr>
          <w:trHeight w:val="615"/>
        </w:trPr>
        <w:tc>
          <w:tcPr>
            <w:tcW w:w="843" w:type="dxa"/>
            <w:hideMark/>
          </w:tcPr>
          <w:p w14:paraId="2826553D" w14:textId="77777777" w:rsidR="001B65B8" w:rsidRPr="001B65B8" w:rsidRDefault="001B65B8" w:rsidP="001B65B8">
            <w:r w:rsidRPr="001B65B8">
              <w:t>4</w:t>
            </w:r>
          </w:p>
        </w:tc>
        <w:tc>
          <w:tcPr>
            <w:tcW w:w="8616" w:type="dxa"/>
            <w:hideMark/>
          </w:tcPr>
          <w:p w14:paraId="61A0BABB" w14:textId="77777777" w:rsidR="001B65B8" w:rsidRPr="001B65B8" w:rsidRDefault="001B65B8">
            <w:r w:rsidRPr="001B65B8">
              <w:t>The reimbursement plan between GSA and the Agencies should be based on clear financial criteria that result in predictable Agency impact.</w:t>
            </w:r>
          </w:p>
        </w:tc>
      </w:tr>
      <w:tr w:rsidR="001B65B8" w:rsidRPr="001B65B8" w14:paraId="664F0EF9" w14:textId="77777777" w:rsidTr="0097702B">
        <w:trPr>
          <w:trHeight w:val="1155"/>
        </w:trPr>
        <w:tc>
          <w:tcPr>
            <w:tcW w:w="843" w:type="dxa"/>
            <w:hideMark/>
          </w:tcPr>
          <w:p w14:paraId="25A670CB" w14:textId="77777777" w:rsidR="001B65B8" w:rsidRPr="001B65B8" w:rsidRDefault="001B65B8" w:rsidP="001B65B8">
            <w:r w:rsidRPr="001B65B8">
              <w:t>5</w:t>
            </w:r>
          </w:p>
        </w:tc>
        <w:tc>
          <w:tcPr>
            <w:tcW w:w="8616" w:type="dxa"/>
            <w:hideMark/>
          </w:tcPr>
          <w:p w14:paraId="7D41F488" w14:textId="77777777" w:rsidR="001B65B8" w:rsidRPr="001B65B8" w:rsidRDefault="001B65B8">
            <w:r w:rsidRPr="001B65B8">
              <w:t>A complete and accurate “baseline” inventory prior to contract award is critical.  In order to facilitate this requirement it is suggested that inventory validation should be an on-going effort during the life of the contract to provide a complete and accurate baseline for not only transition, but also other operations such as billing validation and service optimization.</w:t>
            </w:r>
          </w:p>
        </w:tc>
      </w:tr>
      <w:tr w:rsidR="001B65B8" w:rsidRPr="001B65B8" w14:paraId="1DF160FF" w14:textId="77777777" w:rsidTr="0097702B">
        <w:trPr>
          <w:trHeight w:val="870"/>
        </w:trPr>
        <w:tc>
          <w:tcPr>
            <w:tcW w:w="843" w:type="dxa"/>
            <w:hideMark/>
          </w:tcPr>
          <w:p w14:paraId="01FE532F" w14:textId="77777777" w:rsidR="001B65B8" w:rsidRPr="001B65B8" w:rsidRDefault="001B65B8" w:rsidP="001B65B8">
            <w:r w:rsidRPr="001B65B8">
              <w:t>6</w:t>
            </w:r>
          </w:p>
        </w:tc>
        <w:tc>
          <w:tcPr>
            <w:tcW w:w="8616" w:type="dxa"/>
            <w:hideMark/>
          </w:tcPr>
          <w:p w14:paraId="14C9D4B2" w14:textId="77777777" w:rsidR="001B65B8" w:rsidRPr="001B65B8" w:rsidRDefault="001B65B8">
            <w:r w:rsidRPr="001B65B8">
              <w:t>The roles and responsibilities of all transition stakeholders (that is GSA, Agencies, and service providers) should be clearly defined and communicated to ensure critical activities are appropriately performed.</w:t>
            </w:r>
          </w:p>
        </w:tc>
      </w:tr>
      <w:tr w:rsidR="001B65B8" w:rsidRPr="001B65B8" w14:paraId="6FB82438" w14:textId="77777777" w:rsidTr="0097702B">
        <w:trPr>
          <w:trHeight w:val="870"/>
        </w:trPr>
        <w:tc>
          <w:tcPr>
            <w:tcW w:w="843" w:type="dxa"/>
            <w:hideMark/>
          </w:tcPr>
          <w:p w14:paraId="5022E72F" w14:textId="77777777" w:rsidR="001B65B8" w:rsidRPr="001B65B8" w:rsidRDefault="001B65B8" w:rsidP="001B65B8">
            <w:r w:rsidRPr="001B65B8">
              <w:t>7</w:t>
            </w:r>
          </w:p>
        </w:tc>
        <w:tc>
          <w:tcPr>
            <w:tcW w:w="8616" w:type="dxa"/>
            <w:hideMark/>
          </w:tcPr>
          <w:p w14:paraId="660BDA07" w14:textId="77777777" w:rsidR="001B65B8" w:rsidRPr="001B65B8" w:rsidRDefault="001B65B8">
            <w:r w:rsidRPr="001B65B8">
              <w:t>Many Government requirements cannot be met by standard Commercial services.  Although commercial solutions are encouraged, solicitation documents and all planning must include Government unique requirements.</w:t>
            </w:r>
          </w:p>
        </w:tc>
      </w:tr>
      <w:tr w:rsidR="001B65B8" w:rsidRPr="001B65B8" w14:paraId="11B1C58E" w14:textId="77777777" w:rsidTr="0097702B">
        <w:trPr>
          <w:trHeight w:val="1155"/>
        </w:trPr>
        <w:tc>
          <w:tcPr>
            <w:tcW w:w="843" w:type="dxa"/>
            <w:hideMark/>
          </w:tcPr>
          <w:p w14:paraId="065264D8" w14:textId="77777777" w:rsidR="001B65B8" w:rsidRPr="001B65B8" w:rsidRDefault="001B65B8" w:rsidP="001B65B8">
            <w:r w:rsidRPr="001B65B8">
              <w:t>8</w:t>
            </w:r>
          </w:p>
        </w:tc>
        <w:tc>
          <w:tcPr>
            <w:tcW w:w="8616" w:type="dxa"/>
            <w:hideMark/>
          </w:tcPr>
          <w:p w14:paraId="21F3668C" w14:textId="77777777" w:rsidR="001B65B8" w:rsidRPr="001B65B8" w:rsidRDefault="001B65B8">
            <w:r w:rsidRPr="001B65B8">
              <w:t>Agencies should be prepared for the ‘worse-case’ scenario of their current service provider either not being awarded a successor contract or not being selected through the fair opportunity process and plan accordingly in order to ensure a rapid transition effort with minimal impact on the continuity of service.</w:t>
            </w:r>
          </w:p>
        </w:tc>
      </w:tr>
      <w:tr w:rsidR="001B65B8" w:rsidRPr="001B65B8" w14:paraId="6255A238" w14:textId="77777777" w:rsidTr="0097702B">
        <w:trPr>
          <w:trHeight w:val="1440"/>
        </w:trPr>
        <w:tc>
          <w:tcPr>
            <w:tcW w:w="843" w:type="dxa"/>
            <w:hideMark/>
          </w:tcPr>
          <w:p w14:paraId="6BF49101" w14:textId="77777777" w:rsidR="001B65B8" w:rsidRPr="001B65B8" w:rsidRDefault="001B65B8" w:rsidP="001B65B8">
            <w:r w:rsidRPr="001B65B8">
              <w:t>9</w:t>
            </w:r>
          </w:p>
        </w:tc>
        <w:tc>
          <w:tcPr>
            <w:tcW w:w="8616" w:type="dxa"/>
            <w:hideMark/>
          </w:tcPr>
          <w:p w14:paraId="206BCAF3" w14:textId="77777777" w:rsidR="001B65B8" w:rsidRPr="001B65B8" w:rsidRDefault="001B65B8">
            <w:r w:rsidRPr="001B65B8">
              <w:t>A “one size fits all” approach to program management must be avoided since Agency capabilities differ widely.  For each Agency will likely not have the same transition experience.  At the same time, the approach must ensure that the needs of all Agencies, large and small, are being addressed.  The approach either needs to ensure that resources are available when the plan requires or that the plan can be tailored to fit the available resources</w:t>
            </w:r>
          </w:p>
        </w:tc>
      </w:tr>
      <w:tr w:rsidR="001B65B8" w:rsidRPr="001B65B8" w14:paraId="52DA9FA4" w14:textId="77777777" w:rsidTr="0097702B">
        <w:trPr>
          <w:trHeight w:val="1440"/>
        </w:trPr>
        <w:tc>
          <w:tcPr>
            <w:tcW w:w="843" w:type="dxa"/>
            <w:hideMark/>
          </w:tcPr>
          <w:p w14:paraId="0A3D254D" w14:textId="77777777" w:rsidR="001B65B8" w:rsidRPr="001B65B8" w:rsidRDefault="001B65B8" w:rsidP="001B65B8">
            <w:r w:rsidRPr="001B65B8">
              <w:t>10</w:t>
            </w:r>
          </w:p>
        </w:tc>
        <w:tc>
          <w:tcPr>
            <w:tcW w:w="8616" w:type="dxa"/>
            <w:hideMark/>
          </w:tcPr>
          <w:p w14:paraId="66CC9E1D" w14:textId="77777777" w:rsidR="001B65B8" w:rsidRPr="001B65B8" w:rsidRDefault="001B65B8">
            <w:r w:rsidRPr="001B65B8">
              <w:t>Agencies should anticipate and account for the new service provider’s possible inability or unwillingness to execute all transition requirements as expected thus ensuring that they (a) Establish and maintain effective oversight throughout transition and escalate problems with the service providers to GSA with documentation, and (b) GSA should anticipate and be prepared to deal with service provider’s possible inability or unwillingness to meet contractual obligations.</w:t>
            </w:r>
          </w:p>
        </w:tc>
      </w:tr>
      <w:tr w:rsidR="001B65B8" w:rsidRPr="001B65B8" w14:paraId="12879926" w14:textId="77777777" w:rsidTr="0097702B">
        <w:trPr>
          <w:trHeight w:val="870"/>
        </w:trPr>
        <w:tc>
          <w:tcPr>
            <w:tcW w:w="843" w:type="dxa"/>
            <w:hideMark/>
          </w:tcPr>
          <w:p w14:paraId="282B4001" w14:textId="77777777" w:rsidR="001B65B8" w:rsidRPr="001B65B8" w:rsidRDefault="001B65B8" w:rsidP="001B65B8">
            <w:r w:rsidRPr="001B65B8">
              <w:lastRenderedPageBreak/>
              <w:t>11</w:t>
            </w:r>
          </w:p>
        </w:tc>
        <w:tc>
          <w:tcPr>
            <w:tcW w:w="8616" w:type="dxa"/>
            <w:hideMark/>
          </w:tcPr>
          <w:p w14:paraId="1E432FA5" w14:textId="77777777" w:rsidR="001B65B8" w:rsidRPr="001B65B8" w:rsidRDefault="001B65B8">
            <w:r w:rsidRPr="001B65B8">
              <w:t>Overall transition planning should have sufficient flexibility so that Agencies can coordinate transition with other ongoing activities regardless of the impact of external events.  Likewise, contracts should be flexible to accommodate unforeseen marketplace issues.</w:t>
            </w:r>
          </w:p>
        </w:tc>
      </w:tr>
      <w:tr w:rsidR="001B65B8" w:rsidRPr="001B65B8" w14:paraId="2BB6B8AE" w14:textId="77777777" w:rsidTr="0097702B">
        <w:trPr>
          <w:trHeight w:val="585"/>
        </w:trPr>
        <w:tc>
          <w:tcPr>
            <w:tcW w:w="843" w:type="dxa"/>
            <w:hideMark/>
          </w:tcPr>
          <w:p w14:paraId="770AEFDD" w14:textId="77777777" w:rsidR="001B65B8" w:rsidRPr="001B65B8" w:rsidRDefault="001B65B8" w:rsidP="001B65B8">
            <w:r w:rsidRPr="001B65B8">
              <w:t>12</w:t>
            </w:r>
          </w:p>
        </w:tc>
        <w:tc>
          <w:tcPr>
            <w:tcW w:w="8616" w:type="dxa"/>
            <w:hideMark/>
          </w:tcPr>
          <w:p w14:paraId="79A0DFCD" w14:textId="77777777" w:rsidR="001B65B8" w:rsidRPr="001B65B8" w:rsidRDefault="001B65B8" w:rsidP="008E4FC1">
            <w:r w:rsidRPr="001B65B8">
              <w:t>Coordinated and synchronized disconnects and activation by different service providers are essential to ensure transition success.</w:t>
            </w:r>
          </w:p>
        </w:tc>
      </w:tr>
      <w:tr w:rsidR="001B65B8" w:rsidRPr="001B65B8" w14:paraId="294EEFC3" w14:textId="77777777" w:rsidTr="0097702B">
        <w:trPr>
          <w:trHeight w:val="585"/>
        </w:trPr>
        <w:tc>
          <w:tcPr>
            <w:tcW w:w="843" w:type="dxa"/>
            <w:hideMark/>
          </w:tcPr>
          <w:p w14:paraId="1BD7B2C5" w14:textId="77777777" w:rsidR="001B65B8" w:rsidRPr="001B65B8" w:rsidRDefault="001B65B8" w:rsidP="001B65B8">
            <w:r w:rsidRPr="001B65B8">
              <w:t>13</w:t>
            </w:r>
          </w:p>
        </w:tc>
        <w:tc>
          <w:tcPr>
            <w:tcW w:w="8616" w:type="dxa"/>
            <w:hideMark/>
          </w:tcPr>
          <w:p w14:paraId="3CF1F4F3" w14:textId="77777777" w:rsidR="001B65B8" w:rsidRPr="001B65B8" w:rsidRDefault="001B65B8">
            <w:r w:rsidRPr="001B65B8">
              <w:t>Agencies should consider whether network optimization would be more effectively addressed as part of normal network management or during transition.</w:t>
            </w:r>
          </w:p>
        </w:tc>
      </w:tr>
      <w:tr w:rsidR="001B65B8" w:rsidRPr="001B65B8" w14:paraId="533128DE" w14:textId="77777777" w:rsidTr="0097702B">
        <w:trPr>
          <w:trHeight w:val="870"/>
        </w:trPr>
        <w:tc>
          <w:tcPr>
            <w:tcW w:w="843" w:type="dxa"/>
            <w:hideMark/>
          </w:tcPr>
          <w:p w14:paraId="5450CB61" w14:textId="77777777" w:rsidR="001B65B8" w:rsidRPr="001B65B8" w:rsidRDefault="001B65B8" w:rsidP="001B65B8">
            <w:r w:rsidRPr="001B65B8">
              <w:t>14</w:t>
            </w:r>
          </w:p>
        </w:tc>
        <w:tc>
          <w:tcPr>
            <w:tcW w:w="8616" w:type="dxa"/>
            <w:hideMark/>
          </w:tcPr>
          <w:p w14:paraId="3A972347" w14:textId="77777777" w:rsidR="001B65B8" w:rsidRPr="001B65B8" w:rsidRDefault="001B65B8">
            <w:r w:rsidRPr="001B65B8">
              <w:t>The planning activities of the transition stakeholders (that is GSA, Agencies, and service providers) should be coordinated to ensure all activities are appropriately accounted for and that dependencies are adequately addressed.</w:t>
            </w:r>
          </w:p>
        </w:tc>
      </w:tr>
      <w:tr w:rsidR="001B65B8" w:rsidRPr="001B65B8" w14:paraId="5AFAA2EE" w14:textId="77777777" w:rsidTr="0097702B">
        <w:trPr>
          <w:trHeight w:val="870"/>
        </w:trPr>
        <w:tc>
          <w:tcPr>
            <w:tcW w:w="843" w:type="dxa"/>
            <w:hideMark/>
          </w:tcPr>
          <w:p w14:paraId="1FF9B0D4" w14:textId="77777777" w:rsidR="001B65B8" w:rsidRPr="001B65B8" w:rsidRDefault="001B65B8" w:rsidP="001B65B8">
            <w:r w:rsidRPr="001B65B8">
              <w:t>15</w:t>
            </w:r>
          </w:p>
        </w:tc>
        <w:tc>
          <w:tcPr>
            <w:tcW w:w="8616" w:type="dxa"/>
            <w:hideMark/>
          </w:tcPr>
          <w:p w14:paraId="4901893C" w14:textId="77777777" w:rsidR="001B65B8" w:rsidRPr="001B65B8" w:rsidRDefault="001B65B8">
            <w:r w:rsidRPr="001B65B8">
              <w:t>The task of transition is not limited to transitioning a static list of services on a like-for-like basis.  Therefore, Agencies should anticipate the need for changing connectivity during the transition effort and mitigate those factors in their transition plan(s).</w:t>
            </w:r>
          </w:p>
        </w:tc>
      </w:tr>
      <w:tr w:rsidR="001B65B8" w:rsidRPr="001B65B8" w14:paraId="3AD4F3D1" w14:textId="77777777" w:rsidTr="0097702B">
        <w:trPr>
          <w:trHeight w:val="1155"/>
        </w:trPr>
        <w:tc>
          <w:tcPr>
            <w:tcW w:w="843" w:type="dxa"/>
            <w:hideMark/>
          </w:tcPr>
          <w:p w14:paraId="5C496006" w14:textId="77777777" w:rsidR="001B65B8" w:rsidRPr="001B65B8" w:rsidRDefault="001B65B8" w:rsidP="001B65B8">
            <w:r w:rsidRPr="001B65B8">
              <w:t>16</w:t>
            </w:r>
          </w:p>
        </w:tc>
        <w:tc>
          <w:tcPr>
            <w:tcW w:w="8616" w:type="dxa"/>
            <w:hideMark/>
          </w:tcPr>
          <w:p w14:paraId="05F59EAD" w14:textId="77777777" w:rsidR="001B65B8" w:rsidRPr="001B65B8" w:rsidRDefault="001B65B8">
            <w:r w:rsidRPr="001B65B8">
              <w:t>Care should be exercised when determining the MRGs to be offered to ensure that (a) They do not become an impediment to Agency choice and competition in the future, (b) They do not become a disincentive to winning contractors to aggressively move forward; In short, MRGs should be managed so as not to impede the transition effort.</w:t>
            </w:r>
          </w:p>
        </w:tc>
      </w:tr>
      <w:tr w:rsidR="001B65B8" w:rsidRPr="001B65B8" w14:paraId="550ED123" w14:textId="77777777" w:rsidTr="0097702B">
        <w:trPr>
          <w:trHeight w:val="585"/>
        </w:trPr>
        <w:tc>
          <w:tcPr>
            <w:tcW w:w="843" w:type="dxa"/>
            <w:hideMark/>
          </w:tcPr>
          <w:p w14:paraId="169A6FC5" w14:textId="77777777" w:rsidR="001B65B8" w:rsidRPr="001B65B8" w:rsidRDefault="001B65B8" w:rsidP="001B65B8">
            <w:r w:rsidRPr="001B65B8">
              <w:t>17</w:t>
            </w:r>
          </w:p>
        </w:tc>
        <w:tc>
          <w:tcPr>
            <w:tcW w:w="8616" w:type="dxa"/>
            <w:hideMark/>
          </w:tcPr>
          <w:p w14:paraId="3DBEA00C" w14:textId="77777777" w:rsidR="001B65B8" w:rsidRPr="001B65B8" w:rsidRDefault="001B65B8">
            <w:r w:rsidRPr="001B65B8">
              <w:t xml:space="preserve">The delay in Agencies selecting their vendors significantly impacted the timeline for transition.  Therefore, a “deadline” for vendor selection should be incorporated into the overall transition schedule. </w:t>
            </w:r>
          </w:p>
        </w:tc>
      </w:tr>
      <w:tr w:rsidR="001B65B8" w:rsidRPr="001B65B8" w14:paraId="2BDDB034" w14:textId="77777777" w:rsidTr="0097702B">
        <w:trPr>
          <w:trHeight w:val="585"/>
        </w:trPr>
        <w:tc>
          <w:tcPr>
            <w:tcW w:w="843" w:type="dxa"/>
            <w:hideMark/>
          </w:tcPr>
          <w:p w14:paraId="347A1152" w14:textId="77777777" w:rsidR="001B65B8" w:rsidRPr="001B65B8" w:rsidRDefault="001B65B8" w:rsidP="001B65B8">
            <w:r w:rsidRPr="001B65B8">
              <w:t>18</w:t>
            </w:r>
          </w:p>
        </w:tc>
        <w:tc>
          <w:tcPr>
            <w:tcW w:w="8616" w:type="dxa"/>
            <w:hideMark/>
          </w:tcPr>
          <w:p w14:paraId="49F735F4" w14:textId="77777777" w:rsidR="001B65B8" w:rsidRPr="001B65B8" w:rsidRDefault="001B65B8">
            <w:r w:rsidRPr="001B65B8">
              <w:t>Agency procedures and resources were inadequate to manage the extraordinary volume of service orders associated with the transition effort.</w:t>
            </w:r>
          </w:p>
        </w:tc>
      </w:tr>
      <w:tr w:rsidR="001B65B8" w:rsidRPr="001B65B8" w14:paraId="49A269C7" w14:textId="77777777" w:rsidTr="0097702B">
        <w:trPr>
          <w:trHeight w:val="870"/>
        </w:trPr>
        <w:tc>
          <w:tcPr>
            <w:tcW w:w="843" w:type="dxa"/>
            <w:hideMark/>
          </w:tcPr>
          <w:p w14:paraId="72BD7735" w14:textId="77777777" w:rsidR="001B65B8" w:rsidRPr="001B65B8" w:rsidRDefault="001B65B8" w:rsidP="001B65B8">
            <w:r w:rsidRPr="001B65B8">
              <w:t>19</w:t>
            </w:r>
          </w:p>
        </w:tc>
        <w:tc>
          <w:tcPr>
            <w:tcW w:w="8616" w:type="dxa"/>
            <w:hideMark/>
          </w:tcPr>
          <w:p w14:paraId="69930E8F" w14:textId="77777777" w:rsidR="001B65B8" w:rsidRPr="001B65B8" w:rsidRDefault="001B65B8">
            <w:r w:rsidRPr="001B65B8">
              <w:t>Agencies responsible for slow contractor selection, transition planning and/or order entry that directly results in extension of incumbent contract(s) and services should bear the costs associated with those extensions.</w:t>
            </w:r>
          </w:p>
        </w:tc>
      </w:tr>
      <w:tr w:rsidR="001B65B8" w:rsidRPr="001B65B8" w14:paraId="74CF010F" w14:textId="77777777" w:rsidTr="0097702B">
        <w:trPr>
          <w:trHeight w:val="585"/>
        </w:trPr>
        <w:tc>
          <w:tcPr>
            <w:tcW w:w="843" w:type="dxa"/>
            <w:hideMark/>
          </w:tcPr>
          <w:p w14:paraId="76C0CB5C" w14:textId="77777777" w:rsidR="001B65B8" w:rsidRPr="001B65B8" w:rsidRDefault="001B65B8" w:rsidP="001B65B8">
            <w:r w:rsidRPr="001B65B8">
              <w:t>20</w:t>
            </w:r>
          </w:p>
        </w:tc>
        <w:tc>
          <w:tcPr>
            <w:tcW w:w="8616" w:type="dxa"/>
            <w:hideMark/>
          </w:tcPr>
          <w:p w14:paraId="5D4680FB" w14:textId="77777777" w:rsidR="001B65B8" w:rsidRPr="001B65B8" w:rsidRDefault="001B65B8">
            <w:r w:rsidRPr="001B65B8">
              <w:t>In any future efforts, service providers should be held to the required levels of service from contract award (including the transition period).</w:t>
            </w:r>
          </w:p>
        </w:tc>
      </w:tr>
      <w:tr w:rsidR="001B65B8" w:rsidRPr="001B65B8" w14:paraId="6B18B9E3" w14:textId="77777777" w:rsidTr="0097702B">
        <w:trPr>
          <w:trHeight w:val="585"/>
        </w:trPr>
        <w:tc>
          <w:tcPr>
            <w:tcW w:w="843" w:type="dxa"/>
            <w:hideMark/>
          </w:tcPr>
          <w:p w14:paraId="4468A186" w14:textId="77777777" w:rsidR="001B65B8" w:rsidRPr="001B65B8" w:rsidRDefault="001B65B8" w:rsidP="001B65B8">
            <w:r w:rsidRPr="001B65B8">
              <w:t>21</w:t>
            </w:r>
          </w:p>
        </w:tc>
        <w:tc>
          <w:tcPr>
            <w:tcW w:w="8616" w:type="dxa"/>
            <w:hideMark/>
          </w:tcPr>
          <w:p w14:paraId="7D095BEE" w14:textId="77777777" w:rsidR="001B65B8" w:rsidRPr="001B65B8" w:rsidRDefault="001B65B8">
            <w:r w:rsidRPr="001B65B8">
              <w:t>Agencies should ensure their plans accommodate for potential issues associated with access facilities, as often service providers do not control the entire provisioning process.</w:t>
            </w:r>
          </w:p>
        </w:tc>
      </w:tr>
      <w:tr w:rsidR="001B65B8" w:rsidRPr="001B65B8" w14:paraId="2448502F" w14:textId="77777777" w:rsidTr="0097702B">
        <w:trPr>
          <w:trHeight w:val="585"/>
        </w:trPr>
        <w:tc>
          <w:tcPr>
            <w:tcW w:w="843" w:type="dxa"/>
            <w:hideMark/>
          </w:tcPr>
          <w:p w14:paraId="2EA02031" w14:textId="77777777" w:rsidR="001B65B8" w:rsidRPr="001B65B8" w:rsidRDefault="001B65B8" w:rsidP="001B65B8">
            <w:r w:rsidRPr="001B65B8">
              <w:t>22</w:t>
            </w:r>
          </w:p>
        </w:tc>
        <w:tc>
          <w:tcPr>
            <w:tcW w:w="8616" w:type="dxa"/>
            <w:hideMark/>
          </w:tcPr>
          <w:p w14:paraId="4FFFD2D7" w14:textId="77777777" w:rsidR="001B65B8" w:rsidRPr="001B65B8" w:rsidRDefault="001B65B8">
            <w:r w:rsidRPr="001B65B8">
              <w:t>Service providers need to apply sufficient, properly trained resources in order to meet the identified transition goals.</w:t>
            </w:r>
          </w:p>
        </w:tc>
      </w:tr>
      <w:tr w:rsidR="001B65B8" w:rsidRPr="001B65B8" w14:paraId="2E14E77E" w14:textId="77777777" w:rsidTr="0097702B">
        <w:trPr>
          <w:trHeight w:val="1155"/>
        </w:trPr>
        <w:tc>
          <w:tcPr>
            <w:tcW w:w="843" w:type="dxa"/>
            <w:hideMark/>
          </w:tcPr>
          <w:p w14:paraId="0538D8E5" w14:textId="77777777" w:rsidR="001B65B8" w:rsidRPr="001B65B8" w:rsidRDefault="001B65B8" w:rsidP="001B65B8">
            <w:r w:rsidRPr="001B65B8">
              <w:t>23</w:t>
            </w:r>
          </w:p>
        </w:tc>
        <w:tc>
          <w:tcPr>
            <w:tcW w:w="8616" w:type="dxa"/>
            <w:hideMark/>
          </w:tcPr>
          <w:p w14:paraId="70E5770B" w14:textId="77777777" w:rsidR="001B65B8" w:rsidRPr="001B65B8" w:rsidRDefault="001B65B8">
            <w:r w:rsidRPr="001B65B8">
              <w:t>Future transition planning should not permit transition to begin until service provider support systems are in-place, tested, and accepted.  Further, service providers should be required to deliver support systems for both Commercial and Government unique services that meet Government expectation prior to contract award.</w:t>
            </w:r>
          </w:p>
        </w:tc>
      </w:tr>
      <w:tr w:rsidR="001B65B8" w:rsidRPr="001B65B8" w14:paraId="10DF34AC" w14:textId="77777777" w:rsidTr="0097702B">
        <w:trPr>
          <w:trHeight w:val="2580"/>
        </w:trPr>
        <w:tc>
          <w:tcPr>
            <w:tcW w:w="843" w:type="dxa"/>
            <w:hideMark/>
          </w:tcPr>
          <w:p w14:paraId="7301A868" w14:textId="77777777" w:rsidR="001B65B8" w:rsidRPr="001B65B8" w:rsidRDefault="001B65B8" w:rsidP="001B65B8">
            <w:r w:rsidRPr="001B65B8">
              <w:lastRenderedPageBreak/>
              <w:t>24</w:t>
            </w:r>
          </w:p>
        </w:tc>
        <w:tc>
          <w:tcPr>
            <w:tcW w:w="8616" w:type="dxa"/>
            <w:hideMark/>
          </w:tcPr>
          <w:p w14:paraId="21A6A39B" w14:textId="77777777" w:rsidR="001B65B8" w:rsidRPr="001B65B8" w:rsidRDefault="001B65B8">
            <w:r w:rsidRPr="001B65B8">
              <w:t>Some delays could be avoided if Agencies (a) Take care not to approve a TPSP or site survey if services are not in fact what they need to operate (e.g. all 800 numbers were not included in site survey); (b) Advise service provider of any special access requirements for the site, (c) Make arrangements for the entry of service provider technicians into site in order to avoid unnecessary ‘turn a-ways’; (d) Ensure that they know and understand the plan for their site including the type of cutover (parallel, managed, or coordinated) planned; (e) Have material/equipment installed and ready on scheduled cutover date (e.g. cabling, inside wiring, PBX cards, or other GFE equipment); (f) Have needed technicians on hand for both pre-test and cutover (e.g. PBX technician was not present on scheduled test dates resulting in dialing plan problems).</w:t>
            </w:r>
          </w:p>
        </w:tc>
      </w:tr>
      <w:tr w:rsidR="001B65B8" w:rsidRPr="001B65B8" w14:paraId="78236682" w14:textId="77777777" w:rsidTr="0097702B">
        <w:trPr>
          <w:trHeight w:val="1155"/>
        </w:trPr>
        <w:tc>
          <w:tcPr>
            <w:tcW w:w="843" w:type="dxa"/>
            <w:hideMark/>
          </w:tcPr>
          <w:p w14:paraId="5DF46946" w14:textId="77777777" w:rsidR="001B65B8" w:rsidRPr="001B65B8" w:rsidRDefault="001B65B8" w:rsidP="001B65B8">
            <w:r w:rsidRPr="001B65B8">
              <w:t>25</w:t>
            </w:r>
          </w:p>
        </w:tc>
        <w:tc>
          <w:tcPr>
            <w:tcW w:w="8616" w:type="dxa"/>
            <w:hideMark/>
          </w:tcPr>
          <w:p w14:paraId="04778484" w14:textId="77777777" w:rsidR="001B65B8" w:rsidRPr="001B65B8" w:rsidRDefault="001B65B8">
            <w:r w:rsidRPr="001B65B8">
              <w:t>GSA and Agencies should proactively examine invoices during transition to verify that services are being invoiced against the right contract and the right rate and that the details of billing meet contract requirements.  Also, billing discrepancies should be brought to the attention of service providers promptly and GSA must hold them responsible for resolving billing problems expeditiously.</w:t>
            </w:r>
          </w:p>
        </w:tc>
      </w:tr>
      <w:tr w:rsidR="001B65B8" w:rsidRPr="001B65B8" w14:paraId="551FF07E" w14:textId="77777777" w:rsidTr="0097702B">
        <w:trPr>
          <w:trHeight w:val="585"/>
        </w:trPr>
        <w:tc>
          <w:tcPr>
            <w:tcW w:w="843" w:type="dxa"/>
            <w:hideMark/>
          </w:tcPr>
          <w:p w14:paraId="01209007" w14:textId="77777777" w:rsidR="001B65B8" w:rsidRPr="001B65B8" w:rsidRDefault="001B65B8" w:rsidP="001B65B8">
            <w:r w:rsidRPr="001B65B8">
              <w:t>26</w:t>
            </w:r>
          </w:p>
        </w:tc>
        <w:tc>
          <w:tcPr>
            <w:tcW w:w="8616" w:type="dxa"/>
            <w:hideMark/>
          </w:tcPr>
          <w:p w14:paraId="59420753" w14:textId="77777777" w:rsidR="001B65B8" w:rsidRPr="001B65B8" w:rsidRDefault="001B65B8">
            <w:r w:rsidRPr="001B65B8">
              <w:t>The progress of transition should be measured by both the “old” services replaced and disconnected as well as by the “new” services installed.</w:t>
            </w:r>
          </w:p>
        </w:tc>
      </w:tr>
      <w:tr w:rsidR="001B65B8" w:rsidRPr="001B65B8" w14:paraId="7609183F" w14:textId="77777777" w:rsidTr="0097702B">
        <w:trPr>
          <w:trHeight w:val="1155"/>
        </w:trPr>
        <w:tc>
          <w:tcPr>
            <w:tcW w:w="843" w:type="dxa"/>
            <w:hideMark/>
          </w:tcPr>
          <w:p w14:paraId="4559E1F2" w14:textId="77777777" w:rsidR="001B65B8" w:rsidRPr="001B65B8" w:rsidRDefault="001B65B8" w:rsidP="001B65B8">
            <w:r w:rsidRPr="001B65B8">
              <w:t>27</w:t>
            </w:r>
          </w:p>
        </w:tc>
        <w:tc>
          <w:tcPr>
            <w:tcW w:w="8616" w:type="dxa"/>
            <w:hideMark/>
          </w:tcPr>
          <w:p w14:paraId="243DE864" w14:textId="77777777" w:rsidR="001B65B8" w:rsidRPr="001B65B8" w:rsidRDefault="001B65B8">
            <w:r w:rsidRPr="001B65B8">
              <w:t>Government should specify the information required from the service providers relative to transition progress as opposed to the method by which it is delivered.  Further, how information is captured and presented by the service provider and GSA needs to be carefully documented for the Agencies and the Agencies need to be flexible as to how they can manipulate and use this data.</w:t>
            </w:r>
          </w:p>
        </w:tc>
      </w:tr>
      <w:tr w:rsidR="001B65B8" w:rsidRPr="001B65B8" w14:paraId="20D38A4B" w14:textId="77777777" w:rsidTr="0097702B">
        <w:trPr>
          <w:trHeight w:val="585"/>
        </w:trPr>
        <w:tc>
          <w:tcPr>
            <w:tcW w:w="843" w:type="dxa"/>
            <w:hideMark/>
          </w:tcPr>
          <w:p w14:paraId="55F41382" w14:textId="77777777" w:rsidR="001B65B8" w:rsidRPr="001B65B8" w:rsidRDefault="001B65B8" w:rsidP="001B65B8">
            <w:r w:rsidRPr="001B65B8">
              <w:t>28</w:t>
            </w:r>
          </w:p>
        </w:tc>
        <w:tc>
          <w:tcPr>
            <w:tcW w:w="8616" w:type="dxa"/>
            <w:hideMark/>
          </w:tcPr>
          <w:p w14:paraId="0F9D4E5A" w14:textId="77777777" w:rsidR="001B65B8" w:rsidRPr="001B65B8" w:rsidRDefault="001B65B8">
            <w:r w:rsidRPr="001B65B8">
              <w:t>Effective and consistent transition metrics should be established and agreed upon by all transition stakeholders prior to contract award.</w:t>
            </w:r>
          </w:p>
        </w:tc>
      </w:tr>
      <w:tr w:rsidR="001B65B8" w:rsidRPr="001B65B8" w14:paraId="16CA759D" w14:textId="77777777" w:rsidTr="0097702B">
        <w:trPr>
          <w:trHeight w:val="870"/>
        </w:trPr>
        <w:tc>
          <w:tcPr>
            <w:tcW w:w="843" w:type="dxa"/>
            <w:hideMark/>
          </w:tcPr>
          <w:p w14:paraId="6E6D308A" w14:textId="77777777" w:rsidR="001B65B8" w:rsidRPr="001B65B8" w:rsidRDefault="001B65B8" w:rsidP="001B65B8">
            <w:r w:rsidRPr="001B65B8">
              <w:t>29</w:t>
            </w:r>
          </w:p>
        </w:tc>
        <w:tc>
          <w:tcPr>
            <w:tcW w:w="8616" w:type="dxa"/>
            <w:hideMark/>
          </w:tcPr>
          <w:p w14:paraId="6DEC2168" w14:textId="77777777" w:rsidR="001B65B8" w:rsidRPr="001B65B8" w:rsidRDefault="001B65B8">
            <w:r w:rsidRPr="001B65B8">
              <w:t>GSA will encourage participation from customer Agencies so that they are intimately familiar and comfortable with the structure of the contracts well before they are awarded.  This will help reduce the learning curve after award.</w:t>
            </w:r>
          </w:p>
        </w:tc>
      </w:tr>
      <w:tr w:rsidR="001B65B8" w:rsidRPr="001B65B8" w14:paraId="62169514" w14:textId="77777777" w:rsidTr="0097702B">
        <w:trPr>
          <w:trHeight w:val="585"/>
        </w:trPr>
        <w:tc>
          <w:tcPr>
            <w:tcW w:w="843" w:type="dxa"/>
            <w:hideMark/>
          </w:tcPr>
          <w:p w14:paraId="700ED1FD" w14:textId="77777777" w:rsidR="001B65B8" w:rsidRPr="001B65B8" w:rsidRDefault="001B65B8" w:rsidP="001B65B8">
            <w:r w:rsidRPr="001B65B8">
              <w:t>30</w:t>
            </w:r>
          </w:p>
        </w:tc>
        <w:tc>
          <w:tcPr>
            <w:tcW w:w="8616" w:type="dxa"/>
            <w:hideMark/>
          </w:tcPr>
          <w:p w14:paraId="039ABB78" w14:textId="77777777" w:rsidR="001B65B8" w:rsidRPr="001B65B8" w:rsidRDefault="001B65B8">
            <w:r w:rsidRPr="001B65B8">
              <w:t>Contractor ordering processes need to be integrated with TOPS (or replacement) ordering processes.</w:t>
            </w:r>
          </w:p>
        </w:tc>
      </w:tr>
      <w:tr w:rsidR="001B65B8" w:rsidRPr="001B65B8" w14:paraId="012CC9A0" w14:textId="77777777" w:rsidTr="0097702B">
        <w:trPr>
          <w:trHeight w:val="315"/>
        </w:trPr>
        <w:tc>
          <w:tcPr>
            <w:tcW w:w="843" w:type="dxa"/>
            <w:hideMark/>
          </w:tcPr>
          <w:p w14:paraId="1761F9BC" w14:textId="77777777" w:rsidR="001B65B8" w:rsidRPr="001B65B8" w:rsidRDefault="001B65B8" w:rsidP="001B65B8">
            <w:r w:rsidRPr="001B65B8">
              <w:t>31</w:t>
            </w:r>
          </w:p>
        </w:tc>
        <w:tc>
          <w:tcPr>
            <w:tcW w:w="8616" w:type="dxa"/>
            <w:hideMark/>
          </w:tcPr>
          <w:p w14:paraId="24B65021" w14:textId="77777777" w:rsidR="001B65B8" w:rsidRPr="001B65B8" w:rsidRDefault="001B65B8">
            <w:r w:rsidRPr="001B65B8">
              <w:t>Require secure FTP servers be operational at award.</w:t>
            </w:r>
          </w:p>
        </w:tc>
      </w:tr>
      <w:tr w:rsidR="001B65B8" w:rsidRPr="001B65B8" w14:paraId="661710F8" w14:textId="77777777" w:rsidTr="0097702B">
        <w:trPr>
          <w:trHeight w:val="315"/>
        </w:trPr>
        <w:tc>
          <w:tcPr>
            <w:tcW w:w="843" w:type="dxa"/>
            <w:hideMark/>
          </w:tcPr>
          <w:p w14:paraId="2E3FA51D" w14:textId="77777777" w:rsidR="001B65B8" w:rsidRPr="001B65B8" w:rsidRDefault="001B65B8" w:rsidP="001B65B8">
            <w:r w:rsidRPr="001B65B8">
              <w:t>32</w:t>
            </w:r>
          </w:p>
        </w:tc>
        <w:tc>
          <w:tcPr>
            <w:tcW w:w="8616" w:type="dxa"/>
            <w:hideMark/>
          </w:tcPr>
          <w:p w14:paraId="5AAE26E5" w14:textId="77777777" w:rsidR="001B65B8" w:rsidRPr="001B65B8" w:rsidRDefault="001B65B8">
            <w:r w:rsidRPr="001B65B8">
              <w:t>Redefine the period for measuring the intervals.</w:t>
            </w:r>
          </w:p>
        </w:tc>
      </w:tr>
      <w:tr w:rsidR="001B65B8" w:rsidRPr="001B65B8" w14:paraId="7DA7A67B" w14:textId="77777777" w:rsidTr="0097702B">
        <w:trPr>
          <w:trHeight w:val="585"/>
        </w:trPr>
        <w:tc>
          <w:tcPr>
            <w:tcW w:w="843" w:type="dxa"/>
            <w:hideMark/>
          </w:tcPr>
          <w:p w14:paraId="1DF2E04C" w14:textId="77777777" w:rsidR="001B65B8" w:rsidRPr="001B65B8" w:rsidRDefault="001B65B8" w:rsidP="001B65B8">
            <w:r w:rsidRPr="001B65B8">
              <w:t>33</w:t>
            </w:r>
          </w:p>
        </w:tc>
        <w:tc>
          <w:tcPr>
            <w:tcW w:w="8616" w:type="dxa"/>
            <w:hideMark/>
          </w:tcPr>
          <w:p w14:paraId="09939429" w14:textId="77777777" w:rsidR="001B65B8" w:rsidRPr="001B65B8" w:rsidRDefault="001B65B8">
            <w:r w:rsidRPr="001B65B8">
              <w:t>Include requirement in solicitation for toll free number to allow users to verify they are on the selected contract.</w:t>
            </w:r>
          </w:p>
        </w:tc>
      </w:tr>
      <w:tr w:rsidR="001B65B8" w:rsidRPr="001B65B8" w14:paraId="502BACB3" w14:textId="77777777" w:rsidTr="0097702B">
        <w:trPr>
          <w:trHeight w:val="315"/>
        </w:trPr>
        <w:tc>
          <w:tcPr>
            <w:tcW w:w="843" w:type="dxa"/>
            <w:hideMark/>
          </w:tcPr>
          <w:p w14:paraId="23AAC8BA" w14:textId="77777777" w:rsidR="001B65B8" w:rsidRPr="001B65B8" w:rsidRDefault="001B65B8" w:rsidP="001B65B8">
            <w:r w:rsidRPr="001B65B8">
              <w:t>34</w:t>
            </w:r>
          </w:p>
        </w:tc>
        <w:tc>
          <w:tcPr>
            <w:tcW w:w="8616" w:type="dxa"/>
            <w:hideMark/>
          </w:tcPr>
          <w:p w14:paraId="69E34DC7" w14:textId="77777777" w:rsidR="001B65B8" w:rsidRPr="001B65B8" w:rsidRDefault="001B65B8">
            <w:r w:rsidRPr="001B65B8">
              <w:t>If CSDS still exists, combine requirements for voice services and CSDS.</w:t>
            </w:r>
          </w:p>
        </w:tc>
      </w:tr>
      <w:tr w:rsidR="001B65B8" w:rsidRPr="001B65B8" w14:paraId="002BA9BF" w14:textId="77777777" w:rsidTr="0097702B">
        <w:trPr>
          <w:trHeight w:val="315"/>
        </w:trPr>
        <w:tc>
          <w:tcPr>
            <w:tcW w:w="843" w:type="dxa"/>
            <w:hideMark/>
          </w:tcPr>
          <w:p w14:paraId="368D2DF6" w14:textId="77777777" w:rsidR="001B65B8" w:rsidRPr="001B65B8" w:rsidRDefault="001B65B8" w:rsidP="001B65B8">
            <w:r w:rsidRPr="001B65B8">
              <w:t>35</w:t>
            </w:r>
          </w:p>
        </w:tc>
        <w:tc>
          <w:tcPr>
            <w:tcW w:w="8616" w:type="dxa"/>
            <w:hideMark/>
          </w:tcPr>
          <w:p w14:paraId="61291586" w14:textId="77777777" w:rsidR="001B65B8" w:rsidRPr="001B65B8" w:rsidRDefault="001B65B8">
            <w:r w:rsidRPr="001B65B8">
              <w:t>Investigate Ways to Improve the Timeliness of Fair Opportunity Decisions</w:t>
            </w:r>
          </w:p>
        </w:tc>
      </w:tr>
      <w:tr w:rsidR="001B65B8" w:rsidRPr="001B65B8" w14:paraId="681BA68D" w14:textId="77777777" w:rsidTr="0097702B">
        <w:trPr>
          <w:trHeight w:val="315"/>
        </w:trPr>
        <w:tc>
          <w:tcPr>
            <w:tcW w:w="843" w:type="dxa"/>
            <w:hideMark/>
          </w:tcPr>
          <w:p w14:paraId="261BC5BA" w14:textId="77777777" w:rsidR="001B65B8" w:rsidRPr="001B65B8" w:rsidRDefault="001B65B8" w:rsidP="001B65B8">
            <w:r w:rsidRPr="001B65B8">
              <w:t>36</w:t>
            </w:r>
          </w:p>
        </w:tc>
        <w:tc>
          <w:tcPr>
            <w:tcW w:w="8616" w:type="dxa"/>
            <w:hideMark/>
          </w:tcPr>
          <w:p w14:paraId="127D3309" w14:textId="77777777" w:rsidR="001B65B8" w:rsidRPr="001B65B8" w:rsidRDefault="001B65B8">
            <w:r w:rsidRPr="001B65B8">
              <w:t>Separate intervals for switched and dedicated access, calling cards.</w:t>
            </w:r>
          </w:p>
        </w:tc>
      </w:tr>
      <w:tr w:rsidR="001B65B8" w:rsidRPr="001B65B8" w14:paraId="6063F939" w14:textId="77777777" w:rsidTr="0097702B">
        <w:trPr>
          <w:trHeight w:val="315"/>
        </w:trPr>
        <w:tc>
          <w:tcPr>
            <w:tcW w:w="843" w:type="dxa"/>
            <w:hideMark/>
          </w:tcPr>
          <w:p w14:paraId="07D1579A" w14:textId="77777777" w:rsidR="001B65B8" w:rsidRPr="001B65B8" w:rsidRDefault="001B65B8" w:rsidP="001B65B8">
            <w:r w:rsidRPr="001B65B8">
              <w:t>37</w:t>
            </w:r>
          </w:p>
        </w:tc>
        <w:tc>
          <w:tcPr>
            <w:tcW w:w="8616" w:type="dxa"/>
            <w:hideMark/>
          </w:tcPr>
          <w:p w14:paraId="051A6366" w14:textId="77777777" w:rsidR="001B65B8" w:rsidRPr="001B65B8" w:rsidRDefault="001B65B8">
            <w:r w:rsidRPr="001B65B8">
              <w:t>Require Caller ID to include a name.</w:t>
            </w:r>
          </w:p>
        </w:tc>
      </w:tr>
      <w:tr w:rsidR="001B65B8" w:rsidRPr="001B65B8" w14:paraId="62230CBD" w14:textId="77777777" w:rsidTr="0097702B">
        <w:trPr>
          <w:trHeight w:val="315"/>
        </w:trPr>
        <w:tc>
          <w:tcPr>
            <w:tcW w:w="843" w:type="dxa"/>
            <w:hideMark/>
          </w:tcPr>
          <w:p w14:paraId="765CF03F" w14:textId="77777777" w:rsidR="001B65B8" w:rsidRPr="001B65B8" w:rsidRDefault="001B65B8" w:rsidP="001B65B8">
            <w:r w:rsidRPr="001B65B8">
              <w:t>38</w:t>
            </w:r>
          </w:p>
        </w:tc>
        <w:tc>
          <w:tcPr>
            <w:tcW w:w="8616" w:type="dxa"/>
            <w:hideMark/>
          </w:tcPr>
          <w:p w14:paraId="66799A58" w14:textId="77777777" w:rsidR="001B65B8" w:rsidRPr="001B65B8" w:rsidRDefault="001B65B8">
            <w:r w:rsidRPr="001B65B8">
              <w:t>Require contractors to accept bulk order disconnects.</w:t>
            </w:r>
          </w:p>
        </w:tc>
      </w:tr>
      <w:tr w:rsidR="001B65B8" w:rsidRPr="001B65B8" w14:paraId="3E91AC8B" w14:textId="77777777" w:rsidTr="0097702B">
        <w:trPr>
          <w:trHeight w:val="315"/>
        </w:trPr>
        <w:tc>
          <w:tcPr>
            <w:tcW w:w="843" w:type="dxa"/>
            <w:hideMark/>
          </w:tcPr>
          <w:p w14:paraId="75ACA8A4" w14:textId="77777777" w:rsidR="001B65B8" w:rsidRPr="001B65B8" w:rsidRDefault="001B65B8" w:rsidP="001B65B8">
            <w:r w:rsidRPr="001B65B8">
              <w:t>39</w:t>
            </w:r>
          </w:p>
        </w:tc>
        <w:tc>
          <w:tcPr>
            <w:tcW w:w="8616" w:type="dxa"/>
            <w:hideMark/>
          </w:tcPr>
          <w:p w14:paraId="7BCE90B0" w14:textId="77777777" w:rsidR="001B65B8" w:rsidRPr="001B65B8" w:rsidRDefault="001B65B8">
            <w:r w:rsidRPr="001B65B8">
              <w:t>Provide a solution for Agencies to see their inventories behind GSA Systems.</w:t>
            </w:r>
          </w:p>
        </w:tc>
      </w:tr>
      <w:tr w:rsidR="001B65B8" w:rsidRPr="001B65B8" w14:paraId="0E452C9D" w14:textId="77777777" w:rsidTr="0097702B">
        <w:trPr>
          <w:trHeight w:val="615"/>
        </w:trPr>
        <w:tc>
          <w:tcPr>
            <w:tcW w:w="843" w:type="dxa"/>
            <w:hideMark/>
          </w:tcPr>
          <w:p w14:paraId="75952D08" w14:textId="77777777" w:rsidR="001B65B8" w:rsidRPr="001B65B8" w:rsidRDefault="001B65B8" w:rsidP="001B65B8">
            <w:r w:rsidRPr="001B65B8">
              <w:t>40</w:t>
            </w:r>
          </w:p>
        </w:tc>
        <w:tc>
          <w:tcPr>
            <w:tcW w:w="8616" w:type="dxa"/>
            <w:hideMark/>
          </w:tcPr>
          <w:p w14:paraId="76ED7241" w14:textId="77777777" w:rsidR="001B65B8" w:rsidRPr="001B65B8" w:rsidRDefault="001B65B8">
            <w:r w:rsidRPr="001B65B8">
              <w:t>Define transition reimbursement requirements and process in advance of RFP and include requirements to accommodate the process.</w:t>
            </w:r>
          </w:p>
        </w:tc>
      </w:tr>
      <w:tr w:rsidR="001B65B8" w:rsidRPr="001B65B8" w14:paraId="033FC18E" w14:textId="77777777" w:rsidTr="0097702B">
        <w:trPr>
          <w:trHeight w:val="585"/>
        </w:trPr>
        <w:tc>
          <w:tcPr>
            <w:tcW w:w="843" w:type="dxa"/>
            <w:hideMark/>
          </w:tcPr>
          <w:p w14:paraId="0ECD4666" w14:textId="77777777" w:rsidR="001B65B8" w:rsidRPr="001B65B8" w:rsidRDefault="001B65B8" w:rsidP="001B65B8">
            <w:r w:rsidRPr="001B65B8">
              <w:lastRenderedPageBreak/>
              <w:t>41</w:t>
            </w:r>
          </w:p>
        </w:tc>
        <w:tc>
          <w:tcPr>
            <w:tcW w:w="8616" w:type="dxa"/>
            <w:hideMark/>
          </w:tcPr>
          <w:p w14:paraId="741275D7" w14:textId="77777777" w:rsidR="001B65B8" w:rsidRPr="001B65B8" w:rsidRDefault="001B65B8">
            <w:r w:rsidRPr="001B65B8">
              <w:t>The ability for agencies to buy comprehensive network solutions from a single source (GSA) should remain an important one in planning for NS2020</w:t>
            </w:r>
          </w:p>
        </w:tc>
      </w:tr>
      <w:tr w:rsidR="001B65B8" w:rsidRPr="001B65B8" w14:paraId="785F8957" w14:textId="77777777" w:rsidTr="0097702B">
        <w:trPr>
          <w:trHeight w:val="585"/>
        </w:trPr>
        <w:tc>
          <w:tcPr>
            <w:tcW w:w="843" w:type="dxa"/>
            <w:hideMark/>
          </w:tcPr>
          <w:p w14:paraId="3FF10F38" w14:textId="77777777" w:rsidR="001B65B8" w:rsidRPr="001B65B8" w:rsidRDefault="001B65B8" w:rsidP="001B65B8">
            <w:r w:rsidRPr="001B65B8">
              <w:t>42</w:t>
            </w:r>
          </w:p>
        </w:tc>
        <w:tc>
          <w:tcPr>
            <w:tcW w:w="8616" w:type="dxa"/>
            <w:hideMark/>
          </w:tcPr>
          <w:p w14:paraId="1DE1BEC0" w14:textId="77777777" w:rsidR="001B65B8" w:rsidRPr="001B65B8" w:rsidRDefault="001B65B8">
            <w:r w:rsidRPr="001B65B8">
              <w:t>Contracts should have broad enough scopes to account for changes in technology and pricing methods</w:t>
            </w:r>
          </w:p>
        </w:tc>
      </w:tr>
      <w:tr w:rsidR="001B65B8" w:rsidRPr="001B65B8" w14:paraId="1D7F32FB" w14:textId="77777777" w:rsidTr="0097702B">
        <w:trPr>
          <w:trHeight w:val="615"/>
        </w:trPr>
        <w:tc>
          <w:tcPr>
            <w:tcW w:w="843" w:type="dxa"/>
            <w:hideMark/>
          </w:tcPr>
          <w:p w14:paraId="0424B44A" w14:textId="77777777" w:rsidR="001B65B8" w:rsidRPr="001B65B8" w:rsidRDefault="001B65B8" w:rsidP="001B65B8">
            <w:r w:rsidRPr="001B65B8">
              <w:t>43</w:t>
            </w:r>
          </w:p>
        </w:tc>
        <w:tc>
          <w:tcPr>
            <w:tcW w:w="8616" w:type="dxa"/>
            <w:hideMark/>
          </w:tcPr>
          <w:p w14:paraId="0F251ABB" w14:textId="77777777" w:rsidR="001B65B8" w:rsidRPr="001B65B8" w:rsidRDefault="001B65B8">
            <w:r w:rsidRPr="001B65B8">
              <w:t xml:space="preserve">The range of </w:t>
            </w:r>
            <w:r w:rsidR="0028706B">
              <w:t>OTS</w:t>
            </w:r>
            <w:r w:rsidRPr="001B65B8">
              <w:t xml:space="preserve"> Regional Offices services offered should be broadened in order to better fulfill customers’ needs and to move on from the current business model</w:t>
            </w:r>
          </w:p>
        </w:tc>
      </w:tr>
      <w:tr w:rsidR="001B65B8" w:rsidRPr="001B65B8" w14:paraId="4439C121" w14:textId="77777777" w:rsidTr="0097702B">
        <w:trPr>
          <w:trHeight w:val="585"/>
        </w:trPr>
        <w:tc>
          <w:tcPr>
            <w:tcW w:w="843" w:type="dxa"/>
            <w:hideMark/>
          </w:tcPr>
          <w:p w14:paraId="33D37FC1" w14:textId="77777777" w:rsidR="001B65B8" w:rsidRPr="001B65B8" w:rsidRDefault="001B65B8" w:rsidP="001B65B8">
            <w:r w:rsidRPr="001B65B8">
              <w:t>44</w:t>
            </w:r>
          </w:p>
        </w:tc>
        <w:tc>
          <w:tcPr>
            <w:tcW w:w="8616" w:type="dxa"/>
            <w:hideMark/>
          </w:tcPr>
          <w:p w14:paraId="53D8EE45" w14:textId="77777777" w:rsidR="001B65B8" w:rsidRPr="001B65B8" w:rsidRDefault="001B65B8">
            <w:r w:rsidRPr="001B65B8">
              <w:t>The NS2020 portfolio of service offerings should facilitate customers’ adoption of emerging technology trends, such as the proliferation of cloud services and wireless network access</w:t>
            </w:r>
          </w:p>
        </w:tc>
      </w:tr>
      <w:tr w:rsidR="001B65B8" w:rsidRPr="001B65B8" w14:paraId="2940652D" w14:textId="77777777" w:rsidTr="0097702B">
        <w:trPr>
          <w:trHeight w:val="315"/>
        </w:trPr>
        <w:tc>
          <w:tcPr>
            <w:tcW w:w="843" w:type="dxa"/>
            <w:hideMark/>
          </w:tcPr>
          <w:p w14:paraId="76B2F6B0" w14:textId="77777777" w:rsidR="001B65B8" w:rsidRPr="001B65B8" w:rsidRDefault="001B65B8" w:rsidP="001B65B8">
            <w:r w:rsidRPr="001B65B8">
              <w:t>45</w:t>
            </w:r>
          </w:p>
        </w:tc>
        <w:tc>
          <w:tcPr>
            <w:tcW w:w="8616" w:type="dxa"/>
            <w:hideMark/>
          </w:tcPr>
          <w:p w14:paraId="4AAEA6C3" w14:textId="77777777" w:rsidR="001B65B8" w:rsidRPr="001B65B8" w:rsidRDefault="001B65B8">
            <w:r w:rsidRPr="001B65B8">
              <w:t>Enable access to solutions through the entire ITS portfolio of services and capabilities</w:t>
            </w:r>
          </w:p>
        </w:tc>
      </w:tr>
      <w:tr w:rsidR="001B65B8" w:rsidRPr="001B65B8" w14:paraId="0D43DB2B" w14:textId="77777777" w:rsidTr="0097702B">
        <w:trPr>
          <w:trHeight w:val="315"/>
        </w:trPr>
        <w:tc>
          <w:tcPr>
            <w:tcW w:w="843" w:type="dxa"/>
            <w:hideMark/>
          </w:tcPr>
          <w:p w14:paraId="26763D20" w14:textId="77777777" w:rsidR="001B65B8" w:rsidRPr="001B65B8" w:rsidRDefault="001B65B8" w:rsidP="001B65B8">
            <w:r w:rsidRPr="001B65B8">
              <w:t>46</w:t>
            </w:r>
          </w:p>
        </w:tc>
        <w:tc>
          <w:tcPr>
            <w:tcW w:w="8616" w:type="dxa"/>
            <w:hideMark/>
          </w:tcPr>
          <w:p w14:paraId="2113BCEF" w14:textId="77777777" w:rsidR="001B65B8" w:rsidRPr="001B65B8" w:rsidRDefault="001B65B8">
            <w:r w:rsidRPr="001B65B8">
              <w:t>Establish an integrated portfolio of contract vehicles to serve the full range of agency needs</w:t>
            </w:r>
          </w:p>
        </w:tc>
      </w:tr>
      <w:tr w:rsidR="001B65B8" w:rsidRPr="001B65B8" w14:paraId="3CECE2A8" w14:textId="77777777" w:rsidTr="0097702B">
        <w:trPr>
          <w:trHeight w:val="315"/>
        </w:trPr>
        <w:tc>
          <w:tcPr>
            <w:tcW w:w="843" w:type="dxa"/>
            <w:hideMark/>
          </w:tcPr>
          <w:p w14:paraId="7F3BB8E4" w14:textId="77777777" w:rsidR="001B65B8" w:rsidRPr="001B65B8" w:rsidRDefault="001B65B8" w:rsidP="001B65B8">
            <w:r w:rsidRPr="001B65B8">
              <w:t>47</w:t>
            </w:r>
          </w:p>
        </w:tc>
        <w:tc>
          <w:tcPr>
            <w:tcW w:w="8616" w:type="dxa"/>
            <w:hideMark/>
          </w:tcPr>
          <w:p w14:paraId="3130EC7A" w14:textId="77777777" w:rsidR="001B65B8" w:rsidRPr="001B65B8" w:rsidRDefault="001B65B8">
            <w:r w:rsidRPr="001B65B8">
              <w:t>Establish complementary contracts matching agency buying patterns to market segments</w:t>
            </w:r>
          </w:p>
        </w:tc>
      </w:tr>
      <w:tr w:rsidR="001B65B8" w:rsidRPr="001B65B8" w14:paraId="620B6691" w14:textId="77777777" w:rsidTr="0097702B">
        <w:trPr>
          <w:trHeight w:val="1440"/>
        </w:trPr>
        <w:tc>
          <w:tcPr>
            <w:tcW w:w="843" w:type="dxa"/>
            <w:hideMark/>
          </w:tcPr>
          <w:p w14:paraId="66C014CE" w14:textId="77777777" w:rsidR="001B65B8" w:rsidRPr="001B65B8" w:rsidRDefault="001B65B8" w:rsidP="001B65B8">
            <w:r w:rsidRPr="001B65B8">
              <w:t>48</w:t>
            </w:r>
          </w:p>
        </w:tc>
        <w:tc>
          <w:tcPr>
            <w:tcW w:w="8616" w:type="dxa"/>
            <w:hideMark/>
          </w:tcPr>
          <w:p w14:paraId="71EB1181" w14:textId="77777777" w:rsidR="001B65B8" w:rsidRPr="001B65B8" w:rsidRDefault="001B65B8">
            <w:r w:rsidRPr="001B65B8">
              <w:t xml:space="preserve">Ultimately, both the National and Regional Office programs must ensure that future contracts and support services satisfy agency mission requirements with excellent value. The </w:t>
            </w:r>
            <w:r w:rsidR="0028706B">
              <w:t>OTS</w:t>
            </w:r>
            <w:r w:rsidRPr="001B65B8">
              <w:t xml:space="preserve"> national and regional offices should cooperatively plan the future program portfolio that addresses the variable needs of agency headquarters and field units using an appropriate mix of national and regional contracts.</w:t>
            </w:r>
          </w:p>
        </w:tc>
      </w:tr>
      <w:tr w:rsidR="001B65B8" w:rsidRPr="001B65B8" w14:paraId="03A01385" w14:textId="77777777" w:rsidTr="0097702B">
        <w:trPr>
          <w:trHeight w:val="870"/>
        </w:trPr>
        <w:tc>
          <w:tcPr>
            <w:tcW w:w="843" w:type="dxa"/>
            <w:hideMark/>
          </w:tcPr>
          <w:p w14:paraId="6A6AA74F" w14:textId="77777777" w:rsidR="001B65B8" w:rsidRPr="001B65B8" w:rsidRDefault="001B65B8" w:rsidP="001B65B8">
            <w:r w:rsidRPr="001B65B8">
              <w:t>49</w:t>
            </w:r>
          </w:p>
        </w:tc>
        <w:tc>
          <w:tcPr>
            <w:tcW w:w="8616" w:type="dxa"/>
            <w:hideMark/>
          </w:tcPr>
          <w:p w14:paraId="18A16B5A" w14:textId="77777777" w:rsidR="001B65B8" w:rsidRPr="001B65B8" w:rsidRDefault="001B65B8">
            <w:r w:rsidRPr="001B65B8">
              <w:t>Agencies should engage Agency COs in the beginning of the transition process.  Suggest creating Agency Tiger Teams (with key stakeholders) for appropriate dissemination of pertinent transition related information.</w:t>
            </w:r>
          </w:p>
        </w:tc>
      </w:tr>
      <w:tr w:rsidR="001B65B8" w:rsidRPr="001B65B8" w14:paraId="44B61338" w14:textId="77777777" w:rsidTr="0097702B">
        <w:trPr>
          <w:trHeight w:val="585"/>
        </w:trPr>
        <w:tc>
          <w:tcPr>
            <w:tcW w:w="843" w:type="dxa"/>
            <w:hideMark/>
          </w:tcPr>
          <w:p w14:paraId="2F199528" w14:textId="77777777" w:rsidR="001B65B8" w:rsidRPr="001B65B8" w:rsidRDefault="001B65B8" w:rsidP="001B65B8">
            <w:r w:rsidRPr="001B65B8">
              <w:t>50</w:t>
            </w:r>
          </w:p>
        </w:tc>
        <w:tc>
          <w:tcPr>
            <w:tcW w:w="8616" w:type="dxa"/>
            <w:hideMark/>
          </w:tcPr>
          <w:p w14:paraId="037BF015" w14:textId="77777777" w:rsidR="001B65B8" w:rsidRPr="001B65B8" w:rsidRDefault="001B65B8">
            <w:r w:rsidRPr="001B65B8">
              <w:t>Build lead/lag time into the transition plan to accommodate time for contract modifications.</w:t>
            </w:r>
          </w:p>
        </w:tc>
      </w:tr>
      <w:tr w:rsidR="001B65B8" w:rsidRPr="001B65B8" w14:paraId="6757CC80" w14:textId="77777777" w:rsidTr="0097702B">
        <w:trPr>
          <w:trHeight w:val="585"/>
        </w:trPr>
        <w:tc>
          <w:tcPr>
            <w:tcW w:w="843" w:type="dxa"/>
            <w:hideMark/>
          </w:tcPr>
          <w:p w14:paraId="180C3106" w14:textId="77777777" w:rsidR="001B65B8" w:rsidRPr="001B65B8" w:rsidRDefault="001B65B8" w:rsidP="001B65B8">
            <w:r w:rsidRPr="001B65B8">
              <w:t>51</w:t>
            </w:r>
          </w:p>
        </w:tc>
        <w:tc>
          <w:tcPr>
            <w:tcW w:w="8616" w:type="dxa"/>
            <w:hideMark/>
          </w:tcPr>
          <w:p w14:paraId="26C17950" w14:textId="77777777" w:rsidR="001B65B8" w:rsidRPr="001B65B8" w:rsidRDefault="00DD2939" w:rsidP="00DD2939">
            <w:r>
              <w:t>C</w:t>
            </w:r>
            <w:r w:rsidR="001B65B8" w:rsidRPr="001B65B8">
              <w:t>apture Local Government Contact (LGC) information from order to Service Order Completion Notice (SOCN) then to inventory.</w:t>
            </w:r>
          </w:p>
        </w:tc>
      </w:tr>
      <w:tr w:rsidR="001B65B8" w:rsidRPr="001B65B8" w14:paraId="6FF830BB" w14:textId="77777777" w:rsidTr="0097702B">
        <w:trPr>
          <w:trHeight w:val="315"/>
        </w:trPr>
        <w:tc>
          <w:tcPr>
            <w:tcW w:w="843" w:type="dxa"/>
            <w:hideMark/>
          </w:tcPr>
          <w:p w14:paraId="2E4D2D8E" w14:textId="77777777" w:rsidR="001B65B8" w:rsidRPr="001B65B8" w:rsidRDefault="001B65B8" w:rsidP="001B65B8">
            <w:r w:rsidRPr="001B65B8">
              <w:t>52</w:t>
            </w:r>
          </w:p>
        </w:tc>
        <w:tc>
          <w:tcPr>
            <w:tcW w:w="8616" w:type="dxa"/>
            <w:hideMark/>
          </w:tcPr>
          <w:p w14:paraId="61D97F5E" w14:textId="77777777" w:rsidR="001B65B8" w:rsidRPr="001B65B8" w:rsidRDefault="001B65B8">
            <w:r w:rsidRPr="001B65B8">
              <w:t>Develop measurement standard for the inventory and determine inventory elements.</w:t>
            </w:r>
          </w:p>
        </w:tc>
      </w:tr>
      <w:tr w:rsidR="001B65B8" w:rsidRPr="001B65B8" w14:paraId="74BD82E8" w14:textId="77777777" w:rsidTr="0097702B">
        <w:trPr>
          <w:trHeight w:val="585"/>
        </w:trPr>
        <w:tc>
          <w:tcPr>
            <w:tcW w:w="843" w:type="dxa"/>
            <w:hideMark/>
          </w:tcPr>
          <w:p w14:paraId="1F72723E" w14:textId="77777777" w:rsidR="001B65B8" w:rsidRPr="001B65B8" w:rsidRDefault="001B65B8" w:rsidP="001B65B8">
            <w:r w:rsidRPr="001B65B8">
              <w:t>53</w:t>
            </w:r>
          </w:p>
        </w:tc>
        <w:tc>
          <w:tcPr>
            <w:tcW w:w="8616" w:type="dxa"/>
            <w:hideMark/>
          </w:tcPr>
          <w:p w14:paraId="04957531" w14:textId="77777777" w:rsidR="001B65B8" w:rsidRPr="001B65B8" w:rsidRDefault="001B65B8">
            <w:r w:rsidRPr="001B65B8">
              <w:t>Transition Inventory (TI) should include a requirement to be updated when new or replacement circuit IDs are introduced.</w:t>
            </w:r>
          </w:p>
        </w:tc>
      </w:tr>
      <w:tr w:rsidR="001B65B8" w:rsidRPr="001B65B8" w14:paraId="09BD2784" w14:textId="77777777" w:rsidTr="0097702B">
        <w:trPr>
          <w:trHeight w:val="615"/>
        </w:trPr>
        <w:tc>
          <w:tcPr>
            <w:tcW w:w="843" w:type="dxa"/>
            <w:hideMark/>
          </w:tcPr>
          <w:p w14:paraId="255401A2" w14:textId="77777777" w:rsidR="001B65B8" w:rsidRPr="001B65B8" w:rsidRDefault="001B65B8" w:rsidP="001B65B8">
            <w:r w:rsidRPr="001B65B8">
              <w:t>54</w:t>
            </w:r>
          </w:p>
        </w:tc>
        <w:tc>
          <w:tcPr>
            <w:tcW w:w="8616" w:type="dxa"/>
            <w:hideMark/>
          </w:tcPr>
          <w:p w14:paraId="22CF675D" w14:textId="77777777" w:rsidR="001B65B8" w:rsidRPr="001B65B8" w:rsidRDefault="001B65B8">
            <w:r w:rsidRPr="001B65B8">
              <w:t>When adding or modifying a service or contractual requirement, consideration should be given to what impact it will have on the process for reimbursing transition costs.</w:t>
            </w:r>
          </w:p>
        </w:tc>
      </w:tr>
      <w:tr w:rsidR="001B65B8" w:rsidRPr="001B65B8" w14:paraId="76B16F3D" w14:textId="77777777" w:rsidTr="0097702B">
        <w:trPr>
          <w:trHeight w:val="1155"/>
        </w:trPr>
        <w:tc>
          <w:tcPr>
            <w:tcW w:w="843" w:type="dxa"/>
            <w:hideMark/>
          </w:tcPr>
          <w:p w14:paraId="38A1A66E" w14:textId="77777777" w:rsidR="001B65B8" w:rsidRPr="001B65B8" w:rsidRDefault="001B65B8" w:rsidP="001B65B8">
            <w:r w:rsidRPr="001B65B8">
              <w:t>55</w:t>
            </w:r>
          </w:p>
        </w:tc>
        <w:tc>
          <w:tcPr>
            <w:tcW w:w="8616" w:type="dxa"/>
            <w:hideMark/>
          </w:tcPr>
          <w:p w14:paraId="2C7A9BA2" w14:textId="77777777" w:rsidR="001B65B8" w:rsidRPr="001B65B8" w:rsidRDefault="001B65B8">
            <w:r w:rsidRPr="001B65B8">
              <w:t>GSA’s stakeholder outreach efforts should be extended and strengthened to increase the early involvement and buy-in of higher-level Federal managers such as CIOs and their immediate representatives, as well as OMB’s Resource Management Office (RMO) and Office of E-Government &amp; Information Technology.</w:t>
            </w:r>
          </w:p>
        </w:tc>
      </w:tr>
      <w:tr w:rsidR="001B65B8" w:rsidRPr="001B65B8" w14:paraId="0DFFD0D8" w14:textId="77777777" w:rsidTr="0097702B">
        <w:trPr>
          <w:trHeight w:val="585"/>
        </w:trPr>
        <w:tc>
          <w:tcPr>
            <w:tcW w:w="843" w:type="dxa"/>
            <w:hideMark/>
          </w:tcPr>
          <w:p w14:paraId="10056BC0" w14:textId="77777777" w:rsidR="001B65B8" w:rsidRPr="001B65B8" w:rsidRDefault="001B65B8" w:rsidP="001B65B8">
            <w:r w:rsidRPr="001B65B8">
              <w:t>56</w:t>
            </w:r>
          </w:p>
        </w:tc>
        <w:tc>
          <w:tcPr>
            <w:tcW w:w="8616" w:type="dxa"/>
            <w:hideMark/>
          </w:tcPr>
          <w:p w14:paraId="3B037081" w14:textId="77777777" w:rsidR="001B65B8" w:rsidRPr="001B65B8" w:rsidRDefault="001B65B8">
            <w:r w:rsidRPr="001B65B8">
              <w:t xml:space="preserve">Any structural disincentives to collaboration, such as variable revenue recognition across </w:t>
            </w:r>
            <w:r w:rsidR="0028706B">
              <w:t>OTS</w:t>
            </w:r>
            <w:r w:rsidRPr="001B65B8">
              <w:t xml:space="preserve"> contracts, should be identified and addressed.</w:t>
            </w:r>
          </w:p>
        </w:tc>
      </w:tr>
      <w:tr w:rsidR="001B65B8" w:rsidRPr="001B65B8" w14:paraId="1E5F3F9B" w14:textId="77777777" w:rsidTr="0097702B">
        <w:trPr>
          <w:trHeight w:val="615"/>
        </w:trPr>
        <w:tc>
          <w:tcPr>
            <w:tcW w:w="843" w:type="dxa"/>
            <w:hideMark/>
          </w:tcPr>
          <w:p w14:paraId="29FBA8FD" w14:textId="77777777" w:rsidR="001B65B8" w:rsidRPr="001B65B8" w:rsidRDefault="001B65B8" w:rsidP="001B65B8">
            <w:r w:rsidRPr="001B65B8">
              <w:t>57</w:t>
            </w:r>
          </w:p>
        </w:tc>
        <w:tc>
          <w:tcPr>
            <w:tcW w:w="8616" w:type="dxa"/>
            <w:hideMark/>
          </w:tcPr>
          <w:p w14:paraId="368EC66E" w14:textId="77777777" w:rsidR="001B65B8" w:rsidRPr="001B65B8" w:rsidRDefault="001B65B8">
            <w:r w:rsidRPr="001B65B8">
              <w:t xml:space="preserve">Proper incentives for </w:t>
            </w:r>
            <w:r w:rsidR="0028706B">
              <w:t>OTS</w:t>
            </w:r>
            <w:r w:rsidRPr="001B65B8">
              <w:t xml:space="preserve"> national and regional programs to work together should be formalized.  This includes regions working with each other.</w:t>
            </w:r>
          </w:p>
        </w:tc>
      </w:tr>
      <w:tr w:rsidR="001B65B8" w:rsidRPr="001B65B8" w14:paraId="20472B40" w14:textId="77777777" w:rsidTr="0097702B">
        <w:trPr>
          <w:trHeight w:val="585"/>
        </w:trPr>
        <w:tc>
          <w:tcPr>
            <w:tcW w:w="843" w:type="dxa"/>
            <w:hideMark/>
          </w:tcPr>
          <w:p w14:paraId="4717E863" w14:textId="77777777" w:rsidR="001B65B8" w:rsidRPr="001B65B8" w:rsidRDefault="001B65B8" w:rsidP="001B65B8">
            <w:r w:rsidRPr="001B65B8">
              <w:lastRenderedPageBreak/>
              <w:t>58</w:t>
            </w:r>
          </w:p>
        </w:tc>
        <w:tc>
          <w:tcPr>
            <w:tcW w:w="8616" w:type="dxa"/>
            <w:hideMark/>
          </w:tcPr>
          <w:p w14:paraId="7B3AF7F3" w14:textId="77777777" w:rsidR="001B65B8" w:rsidRPr="001B65B8" w:rsidRDefault="001B65B8">
            <w:r w:rsidRPr="001B65B8">
              <w:t xml:space="preserve">GSA should strive for more effective collaboration among </w:t>
            </w:r>
            <w:r w:rsidR="0028706B">
              <w:t>OTS</w:t>
            </w:r>
            <w:r w:rsidRPr="001B65B8">
              <w:t xml:space="preserve"> program staff and COs, as well as more effective coordination with external stakeholders.</w:t>
            </w:r>
          </w:p>
        </w:tc>
      </w:tr>
      <w:tr w:rsidR="001B65B8" w:rsidRPr="001B65B8" w14:paraId="332E2E9E" w14:textId="77777777" w:rsidTr="0097702B">
        <w:trPr>
          <w:trHeight w:val="315"/>
        </w:trPr>
        <w:tc>
          <w:tcPr>
            <w:tcW w:w="843" w:type="dxa"/>
            <w:hideMark/>
          </w:tcPr>
          <w:p w14:paraId="65530765" w14:textId="77777777" w:rsidR="001B65B8" w:rsidRPr="001B65B8" w:rsidRDefault="001B65B8" w:rsidP="001B65B8">
            <w:r w:rsidRPr="001B65B8">
              <w:t>59</w:t>
            </w:r>
          </w:p>
        </w:tc>
        <w:tc>
          <w:tcPr>
            <w:tcW w:w="8616" w:type="dxa"/>
            <w:hideMark/>
          </w:tcPr>
          <w:p w14:paraId="3D4FA308" w14:textId="77777777" w:rsidR="001B65B8" w:rsidRPr="001B65B8" w:rsidRDefault="001B65B8">
            <w:r w:rsidRPr="001B65B8">
              <w:t>Transition Managers should be associated with AB Codes.</w:t>
            </w:r>
          </w:p>
        </w:tc>
      </w:tr>
      <w:tr w:rsidR="001B65B8" w:rsidRPr="001B65B8" w14:paraId="235E6D27" w14:textId="77777777" w:rsidTr="0097702B">
        <w:trPr>
          <w:trHeight w:val="870"/>
        </w:trPr>
        <w:tc>
          <w:tcPr>
            <w:tcW w:w="843" w:type="dxa"/>
            <w:hideMark/>
          </w:tcPr>
          <w:p w14:paraId="0DBF2C88" w14:textId="77777777" w:rsidR="001B65B8" w:rsidRPr="001B65B8" w:rsidRDefault="001B65B8" w:rsidP="001B65B8">
            <w:r w:rsidRPr="001B65B8">
              <w:t>60</w:t>
            </w:r>
          </w:p>
        </w:tc>
        <w:tc>
          <w:tcPr>
            <w:tcW w:w="8616" w:type="dxa"/>
            <w:hideMark/>
          </w:tcPr>
          <w:p w14:paraId="7A1C1BAB" w14:textId="77777777" w:rsidR="001B65B8" w:rsidRPr="001B65B8" w:rsidRDefault="001B65B8">
            <w:r w:rsidRPr="001B65B8">
              <w:t>GSA should provide expanded outreach support for smaller agencies to focus and address specific transition needs and options. Provide follow-up support for preparing and completing fair opportunity decisions and support tool training.</w:t>
            </w:r>
          </w:p>
        </w:tc>
      </w:tr>
      <w:tr w:rsidR="001B65B8" w:rsidRPr="001B65B8" w14:paraId="704EFE45" w14:textId="77777777" w:rsidTr="0097702B">
        <w:trPr>
          <w:trHeight w:val="870"/>
        </w:trPr>
        <w:tc>
          <w:tcPr>
            <w:tcW w:w="843" w:type="dxa"/>
            <w:hideMark/>
          </w:tcPr>
          <w:p w14:paraId="788E38B9" w14:textId="77777777" w:rsidR="001B65B8" w:rsidRPr="001B65B8" w:rsidRDefault="001B65B8" w:rsidP="001B65B8">
            <w:r w:rsidRPr="001B65B8">
              <w:t>61</w:t>
            </w:r>
          </w:p>
        </w:tc>
        <w:tc>
          <w:tcPr>
            <w:tcW w:w="8616" w:type="dxa"/>
            <w:hideMark/>
          </w:tcPr>
          <w:p w14:paraId="0322FCF5" w14:textId="77777777" w:rsidR="001B65B8" w:rsidRPr="001B65B8" w:rsidRDefault="001B65B8">
            <w:r w:rsidRPr="001B65B8">
              <w:t>Maintain Agency TM information and status throughout contract lifecycle. Accurate and current agency contact information will enable GSA to coordinate planning, communication, and outreach for the next transition.</w:t>
            </w:r>
          </w:p>
        </w:tc>
      </w:tr>
      <w:tr w:rsidR="001B65B8" w:rsidRPr="001B65B8" w14:paraId="7E1F1141" w14:textId="77777777" w:rsidTr="0097702B">
        <w:trPr>
          <w:trHeight w:val="585"/>
        </w:trPr>
        <w:tc>
          <w:tcPr>
            <w:tcW w:w="843" w:type="dxa"/>
            <w:hideMark/>
          </w:tcPr>
          <w:p w14:paraId="217D90E9" w14:textId="77777777" w:rsidR="001B65B8" w:rsidRPr="001B65B8" w:rsidRDefault="001B65B8" w:rsidP="001B65B8">
            <w:r w:rsidRPr="001B65B8">
              <w:t>62</w:t>
            </w:r>
          </w:p>
        </w:tc>
        <w:tc>
          <w:tcPr>
            <w:tcW w:w="8616" w:type="dxa"/>
            <w:hideMark/>
          </w:tcPr>
          <w:p w14:paraId="692CFE27" w14:textId="77777777" w:rsidR="001B65B8" w:rsidRPr="001B65B8" w:rsidRDefault="001B65B8">
            <w:r w:rsidRPr="001B65B8">
              <w:t>Explore other incentives, in addition to Transition Reimbursement, to provide sufficient motivation for agencies to execute their fair opportunity decisions and transition.</w:t>
            </w:r>
          </w:p>
        </w:tc>
      </w:tr>
      <w:tr w:rsidR="001B65B8" w:rsidRPr="001B65B8" w14:paraId="57A817D7" w14:textId="77777777" w:rsidTr="0097702B">
        <w:trPr>
          <w:trHeight w:val="870"/>
        </w:trPr>
        <w:tc>
          <w:tcPr>
            <w:tcW w:w="843" w:type="dxa"/>
            <w:hideMark/>
          </w:tcPr>
          <w:p w14:paraId="08E5EAD2" w14:textId="77777777" w:rsidR="001B65B8" w:rsidRPr="001B65B8" w:rsidRDefault="001B65B8" w:rsidP="001B65B8">
            <w:r w:rsidRPr="001B65B8">
              <w:t>63</w:t>
            </w:r>
          </w:p>
        </w:tc>
        <w:tc>
          <w:tcPr>
            <w:tcW w:w="8616" w:type="dxa"/>
            <w:hideMark/>
          </w:tcPr>
          <w:p w14:paraId="776E25AB" w14:textId="77777777" w:rsidR="001B65B8" w:rsidRPr="001B65B8" w:rsidRDefault="001B65B8">
            <w:r w:rsidRPr="001B65B8">
              <w:t>Voice service PICed to service provider prior to SOCN, resulting in commercial billing. This Impacts “transition” and "new" service orders. Need flexibility to allow IXC to re-rate charges, or to prevent PIC from occurring prior to SOCN.</w:t>
            </w:r>
          </w:p>
        </w:tc>
      </w:tr>
      <w:tr w:rsidR="001B65B8" w:rsidRPr="001B65B8" w14:paraId="00E37FA6" w14:textId="77777777" w:rsidTr="0097702B">
        <w:trPr>
          <w:trHeight w:val="315"/>
        </w:trPr>
        <w:tc>
          <w:tcPr>
            <w:tcW w:w="843" w:type="dxa"/>
            <w:hideMark/>
          </w:tcPr>
          <w:p w14:paraId="66A783B8" w14:textId="77777777" w:rsidR="001B65B8" w:rsidRPr="001B65B8" w:rsidRDefault="001B65B8" w:rsidP="001B65B8">
            <w:r w:rsidRPr="001B65B8">
              <w:t>64</w:t>
            </w:r>
          </w:p>
        </w:tc>
        <w:tc>
          <w:tcPr>
            <w:tcW w:w="8616" w:type="dxa"/>
            <w:hideMark/>
          </w:tcPr>
          <w:p w14:paraId="43752A45" w14:textId="77777777" w:rsidR="001B65B8" w:rsidRPr="001B65B8" w:rsidRDefault="001B65B8">
            <w:r w:rsidRPr="001B65B8">
              <w:t>Dedicate trained personnel to handle disconnects.</w:t>
            </w:r>
          </w:p>
        </w:tc>
      </w:tr>
      <w:tr w:rsidR="001B65B8" w:rsidRPr="001B65B8" w14:paraId="5249081A" w14:textId="77777777" w:rsidTr="0097702B">
        <w:trPr>
          <w:trHeight w:val="585"/>
        </w:trPr>
        <w:tc>
          <w:tcPr>
            <w:tcW w:w="843" w:type="dxa"/>
            <w:hideMark/>
          </w:tcPr>
          <w:p w14:paraId="32A4A9F8" w14:textId="77777777" w:rsidR="001B65B8" w:rsidRPr="001B65B8" w:rsidRDefault="001B65B8" w:rsidP="001B65B8">
            <w:r w:rsidRPr="001B65B8">
              <w:t>65</w:t>
            </w:r>
          </w:p>
        </w:tc>
        <w:tc>
          <w:tcPr>
            <w:tcW w:w="8616" w:type="dxa"/>
            <w:hideMark/>
          </w:tcPr>
          <w:p w14:paraId="72195E71" w14:textId="77777777" w:rsidR="001B65B8" w:rsidRPr="001B65B8" w:rsidRDefault="001B65B8">
            <w:r w:rsidRPr="001B65B8">
              <w:t>Do not assume that a back office transition will be easier than change of provider.   Many of the same transition elements still need to be coordinated with a back office transition.</w:t>
            </w:r>
          </w:p>
        </w:tc>
      </w:tr>
      <w:tr w:rsidR="001B65B8" w:rsidRPr="001B65B8" w14:paraId="4F1AA73B" w14:textId="77777777" w:rsidTr="0097702B">
        <w:trPr>
          <w:trHeight w:val="315"/>
        </w:trPr>
        <w:tc>
          <w:tcPr>
            <w:tcW w:w="843" w:type="dxa"/>
            <w:hideMark/>
          </w:tcPr>
          <w:p w14:paraId="56C8B705" w14:textId="77777777" w:rsidR="001B65B8" w:rsidRPr="001B65B8" w:rsidRDefault="001B65B8" w:rsidP="001B65B8">
            <w:r w:rsidRPr="001B65B8">
              <w:t>66</w:t>
            </w:r>
          </w:p>
        </w:tc>
        <w:tc>
          <w:tcPr>
            <w:tcW w:w="8616" w:type="dxa"/>
            <w:hideMark/>
          </w:tcPr>
          <w:p w14:paraId="6D221208" w14:textId="77777777" w:rsidR="001B65B8" w:rsidRPr="001B65B8" w:rsidRDefault="001B65B8">
            <w:r w:rsidRPr="001B65B8">
              <w:t>Centralize ordering system process but decentralize ordering.</w:t>
            </w:r>
          </w:p>
        </w:tc>
      </w:tr>
      <w:tr w:rsidR="001B65B8" w:rsidRPr="001B65B8" w14:paraId="1EBFBBD5" w14:textId="77777777" w:rsidTr="0097702B">
        <w:trPr>
          <w:trHeight w:val="585"/>
        </w:trPr>
        <w:tc>
          <w:tcPr>
            <w:tcW w:w="843" w:type="dxa"/>
            <w:hideMark/>
          </w:tcPr>
          <w:p w14:paraId="4C8E52AE" w14:textId="77777777" w:rsidR="001B65B8" w:rsidRPr="001B65B8" w:rsidRDefault="001B65B8" w:rsidP="001B65B8">
            <w:r w:rsidRPr="001B65B8">
              <w:t>67</w:t>
            </w:r>
          </w:p>
        </w:tc>
        <w:tc>
          <w:tcPr>
            <w:tcW w:w="8616" w:type="dxa"/>
            <w:hideMark/>
          </w:tcPr>
          <w:p w14:paraId="0B06CBA9" w14:textId="77777777" w:rsidR="001B65B8" w:rsidRPr="001B65B8" w:rsidRDefault="001B65B8">
            <w:r w:rsidRPr="001B65B8">
              <w:t>Provide drop down list of valid values for Agencies to select from when documenting fair opportunity decisions.</w:t>
            </w:r>
          </w:p>
        </w:tc>
      </w:tr>
      <w:tr w:rsidR="001B65B8" w:rsidRPr="001B65B8" w14:paraId="135D55CA" w14:textId="77777777" w:rsidTr="0097702B">
        <w:trPr>
          <w:trHeight w:val="315"/>
        </w:trPr>
        <w:tc>
          <w:tcPr>
            <w:tcW w:w="843" w:type="dxa"/>
            <w:hideMark/>
          </w:tcPr>
          <w:p w14:paraId="3C959F04" w14:textId="77777777" w:rsidR="001B65B8" w:rsidRPr="001B65B8" w:rsidRDefault="001B65B8" w:rsidP="001B65B8">
            <w:r w:rsidRPr="001B65B8">
              <w:t>68</w:t>
            </w:r>
          </w:p>
        </w:tc>
        <w:tc>
          <w:tcPr>
            <w:tcW w:w="8616" w:type="dxa"/>
            <w:hideMark/>
          </w:tcPr>
          <w:p w14:paraId="53021E9D" w14:textId="77777777" w:rsidR="001B65B8" w:rsidRPr="001B65B8" w:rsidRDefault="001B65B8">
            <w:r w:rsidRPr="001B65B8">
              <w:t>Revisit the Definition of Billing SLAs</w:t>
            </w:r>
          </w:p>
        </w:tc>
      </w:tr>
      <w:tr w:rsidR="001B65B8" w:rsidRPr="001B65B8" w14:paraId="1150F654" w14:textId="77777777" w:rsidTr="0097702B">
        <w:trPr>
          <w:trHeight w:val="585"/>
        </w:trPr>
        <w:tc>
          <w:tcPr>
            <w:tcW w:w="843" w:type="dxa"/>
            <w:hideMark/>
          </w:tcPr>
          <w:p w14:paraId="7EB0D74F" w14:textId="77777777" w:rsidR="001B65B8" w:rsidRPr="001B65B8" w:rsidRDefault="001B65B8" w:rsidP="001B65B8">
            <w:r w:rsidRPr="001B65B8">
              <w:t>69</w:t>
            </w:r>
          </w:p>
        </w:tc>
        <w:tc>
          <w:tcPr>
            <w:tcW w:w="8616" w:type="dxa"/>
            <w:hideMark/>
          </w:tcPr>
          <w:p w14:paraId="6140E2FD" w14:textId="77777777" w:rsidR="001B65B8" w:rsidRPr="001B65B8" w:rsidRDefault="001B65B8">
            <w:r w:rsidRPr="001B65B8">
              <w:t>Clear definition of account ownership – who is the directly responsible individual – for each account’s satisfaction should be defined.</w:t>
            </w:r>
          </w:p>
        </w:tc>
      </w:tr>
      <w:tr w:rsidR="001B65B8" w:rsidRPr="001B65B8" w14:paraId="590652DB" w14:textId="77777777" w:rsidTr="0097702B">
        <w:trPr>
          <w:trHeight w:val="585"/>
        </w:trPr>
        <w:tc>
          <w:tcPr>
            <w:tcW w:w="843" w:type="dxa"/>
            <w:hideMark/>
          </w:tcPr>
          <w:p w14:paraId="6A06B600" w14:textId="77777777" w:rsidR="001B65B8" w:rsidRPr="001B65B8" w:rsidRDefault="001B65B8" w:rsidP="001B65B8">
            <w:r w:rsidRPr="001B65B8">
              <w:t>70</w:t>
            </w:r>
          </w:p>
        </w:tc>
        <w:tc>
          <w:tcPr>
            <w:tcW w:w="8616" w:type="dxa"/>
            <w:hideMark/>
          </w:tcPr>
          <w:p w14:paraId="1E8114C4" w14:textId="77777777" w:rsidR="001B65B8" w:rsidRPr="001B65B8" w:rsidRDefault="001B65B8">
            <w:r w:rsidRPr="001B65B8">
              <w:t xml:space="preserve">GSA should provide a means for agencies to obtain third party acquisition assistance either directly through the </w:t>
            </w:r>
            <w:r w:rsidR="0028706B">
              <w:t>OTS</w:t>
            </w:r>
            <w:r w:rsidRPr="001B65B8">
              <w:t xml:space="preserve"> or through a partnership between </w:t>
            </w:r>
            <w:r w:rsidR="0028706B">
              <w:t>OTS</w:t>
            </w:r>
            <w:r w:rsidRPr="001B65B8">
              <w:t xml:space="preserve"> and other GSA service.</w:t>
            </w:r>
          </w:p>
        </w:tc>
      </w:tr>
      <w:tr w:rsidR="001B65B8" w:rsidRPr="001B65B8" w14:paraId="783AE2A8" w14:textId="77777777" w:rsidTr="0097702B">
        <w:trPr>
          <w:trHeight w:val="585"/>
        </w:trPr>
        <w:tc>
          <w:tcPr>
            <w:tcW w:w="843" w:type="dxa"/>
            <w:hideMark/>
          </w:tcPr>
          <w:p w14:paraId="62A5897A" w14:textId="77777777" w:rsidR="001B65B8" w:rsidRPr="001B65B8" w:rsidRDefault="001B65B8" w:rsidP="001B65B8">
            <w:r w:rsidRPr="001B65B8">
              <w:t>71</w:t>
            </w:r>
          </w:p>
        </w:tc>
        <w:tc>
          <w:tcPr>
            <w:tcW w:w="8616" w:type="dxa"/>
            <w:hideMark/>
          </w:tcPr>
          <w:p w14:paraId="0397F912" w14:textId="77777777" w:rsidR="001B65B8" w:rsidRPr="001B65B8" w:rsidRDefault="001B65B8">
            <w:r w:rsidRPr="001B65B8">
              <w:t xml:space="preserve">GSA should anticipate customers to want more extensive and continuous support from </w:t>
            </w:r>
            <w:r w:rsidR="0028706B">
              <w:t>OTS</w:t>
            </w:r>
            <w:r w:rsidRPr="001B65B8">
              <w:t xml:space="preserve"> for complex FO decisions.</w:t>
            </w:r>
          </w:p>
        </w:tc>
      </w:tr>
      <w:tr w:rsidR="001B65B8" w:rsidRPr="001B65B8" w14:paraId="2F22975D" w14:textId="77777777" w:rsidTr="0097702B">
        <w:trPr>
          <w:trHeight w:val="870"/>
        </w:trPr>
        <w:tc>
          <w:tcPr>
            <w:tcW w:w="843" w:type="dxa"/>
            <w:hideMark/>
          </w:tcPr>
          <w:p w14:paraId="06162CF0" w14:textId="77777777" w:rsidR="001B65B8" w:rsidRPr="001B65B8" w:rsidRDefault="001B65B8" w:rsidP="001B65B8">
            <w:r w:rsidRPr="001B65B8">
              <w:t>72</w:t>
            </w:r>
          </w:p>
        </w:tc>
        <w:tc>
          <w:tcPr>
            <w:tcW w:w="8616" w:type="dxa"/>
            <w:hideMark/>
          </w:tcPr>
          <w:p w14:paraId="1BC6A7DD" w14:textId="77777777" w:rsidR="001B65B8" w:rsidRPr="001B65B8" w:rsidRDefault="001B65B8">
            <w:r w:rsidRPr="001B65B8">
              <w:t>GSA should establish an outreach and governance model that recognizes the perspectives of finance, acquisition, and information technology, and promotes coordination between senior executives in these organizations.</w:t>
            </w:r>
          </w:p>
        </w:tc>
      </w:tr>
      <w:tr w:rsidR="001B65B8" w:rsidRPr="001B65B8" w14:paraId="3EDE3B64" w14:textId="77777777" w:rsidTr="0097702B">
        <w:trPr>
          <w:trHeight w:val="315"/>
        </w:trPr>
        <w:tc>
          <w:tcPr>
            <w:tcW w:w="843" w:type="dxa"/>
            <w:hideMark/>
          </w:tcPr>
          <w:p w14:paraId="5D158899" w14:textId="77777777" w:rsidR="001B65B8" w:rsidRPr="001B65B8" w:rsidRDefault="001B65B8" w:rsidP="001B65B8">
            <w:r w:rsidRPr="001B65B8">
              <w:t>73</w:t>
            </w:r>
          </w:p>
        </w:tc>
        <w:tc>
          <w:tcPr>
            <w:tcW w:w="8616" w:type="dxa"/>
            <w:hideMark/>
          </w:tcPr>
          <w:p w14:paraId="1E26502B" w14:textId="77777777" w:rsidR="001B65B8" w:rsidRPr="001B65B8" w:rsidRDefault="001B65B8">
            <w:r w:rsidRPr="001B65B8">
              <w:t>Equipment replacement actions were inaccurate and took an excessive amount of time</w:t>
            </w:r>
          </w:p>
        </w:tc>
      </w:tr>
      <w:tr w:rsidR="001B65B8" w:rsidRPr="001B65B8" w14:paraId="2EA51E32" w14:textId="77777777" w:rsidTr="0097702B">
        <w:trPr>
          <w:trHeight w:val="315"/>
        </w:trPr>
        <w:tc>
          <w:tcPr>
            <w:tcW w:w="843" w:type="dxa"/>
            <w:hideMark/>
          </w:tcPr>
          <w:p w14:paraId="6E9946E3" w14:textId="77777777" w:rsidR="001B65B8" w:rsidRPr="001B65B8" w:rsidRDefault="001B65B8" w:rsidP="001B65B8">
            <w:r w:rsidRPr="001B65B8">
              <w:t>74</w:t>
            </w:r>
          </w:p>
        </w:tc>
        <w:tc>
          <w:tcPr>
            <w:tcW w:w="8616" w:type="dxa"/>
            <w:hideMark/>
          </w:tcPr>
          <w:p w14:paraId="09417152" w14:textId="77777777" w:rsidR="001B65B8" w:rsidRPr="001B65B8" w:rsidRDefault="001B65B8">
            <w:r w:rsidRPr="001B65B8">
              <w:t>Back office transition (BOT) process' were not rapid, efficient and non-service-affecting</w:t>
            </w:r>
          </w:p>
        </w:tc>
      </w:tr>
      <w:tr w:rsidR="001B65B8" w:rsidRPr="001B65B8" w14:paraId="42C2E4DD" w14:textId="77777777" w:rsidTr="0097702B">
        <w:trPr>
          <w:trHeight w:val="615"/>
        </w:trPr>
        <w:tc>
          <w:tcPr>
            <w:tcW w:w="843" w:type="dxa"/>
            <w:hideMark/>
          </w:tcPr>
          <w:p w14:paraId="0F8441FA" w14:textId="77777777" w:rsidR="001B65B8" w:rsidRPr="001B65B8" w:rsidRDefault="001B65B8" w:rsidP="001B65B8">
            <w:r w:rsidRPr="001B65B8">
              <w:t>75</w:t>
            </w:r>
          </w:p>
        </w:tc>
        <w:tc>
          <w:tcPr>
            <w:tcW w:w="8616" w:type="dxa"/>
            <w:hideMark/>
          </w:tcPr>
          <w:p w14:paraId="5FE3D72E" w14:textId="77777777" w:rsidR="001B65B8" w:rsidRPr="001B65B8" w:rsidRDefault="001B65B8">
            <w:r w:rsidRPr="001B65B8">
              <w:t>Numerous CLINs that were amended or changed on an order did not receive transition credit</w:t>
            </w:r>
          </w:p>
        </w:tc>
      </w:tr>
      <w:tr w:rsidR="001B65B8" w:rsidRPr="001B65B8" w14:paraId="3B2BF1F9" w14:textId="77777777" w:rsidTr="0097702B">
        <w:trPr>
          <w:trHeight w:val="585"/>
        </w:trPr>
        <w:tc>
          <w:tcPr>
            <w:tcW w:w="843" w:type="dxa"/>
            <w:hideMark/>
          </w:tcPr>
          <w:p w14:paraId="49D2D45E" w14:textId="77777777" w:rsidR="001B65B8" w:rsidRPr="001B65B8" w:rsidRDefault="001B65B8" w:rsidP="001B65B8">
            <w:r w:rsidRPr="001B65B8">
              <w:t>76</w:t>
            </w:r>
          </w:p>
        </w:tc>
        <w:tc>
          <w:tcPr>
            <w:tcW w:w="8616" w:type="dxa"/>
            <w:hideMark/>
          </w:tcPr>
          <w:p w14:paraId="3829EB12" w14:textId="77777777" w:rsidR="001B65B8" w:rsidRPr="001B65B8" w:rsidRDefault="001B65B8" w:rsidP="008E4FC1">
            <w:r w:rsidRPr="001B65B8">
              <w:t>Agencies need to get a copy of the vendors' inventory files that will allow them to do a better job of reconciling inventory</w:t>
            </w:r>
          </w:p>
        </w:tc>
      </w:tr>
      <w:tr w:rsidR="001B65B8" w:rsidRPr="001B65B8" w14:paraId="7D1B2E56" w14:textId="77777777" w:rsidTr="0097702B">
        <w:trPr>
          <w:trHeight w:val="315"/>
        </w:trPr>
        <w:tc>
          <w:tcPr>
            <w:tcW w:w="843" w:type="dxa"/>
            <w:hideMark/>
          </w:tcPr>
          <w:p w14:paraId="1FEEAE88" w14:textId="77777777" w:rsidR="001B65B8" w:rsidRPr="001B65B8" w:rsidRDefault="001B65B8" w:rsidP="001B65B8">
            <w:r w:rsidRPr="001B65B8">
              <w:t>77</w:t>
            </w:r>
          </w:p>
        </w:tc>
        <w:tc>
          <w:tcPr>
            <w:tcW w:w="8616" w:type="dxa"/>
            <w:hideMark/>
          </w:tcPr>
          <w:p w14:paraId="22AA5F6A" w14:textId="77777777" w:rsidR="001B65B8" w:rsidRPr="001B65B8" w:rsidRDefault="001B65B8">
            <w:r w:rsidRPr="001B65B8">
              <w:t>Multiple and repetitive reconciliations of TOPS inventory as a result of not being centrally managed</w:t>
            </w:r>
          </w:p>
        </w:tc>
      </w:tr>
      <w:tr w:rsidR="001B65B8" w:rsidRPr="001B65B8" w14:paraId="06E5C22F" w14:textId="77777777" w:rsidTr="0097702B">
        <w:trPr>
          <w:trHeight w:val="585"/>
        </w:trPr>
        <w:tc>
          <w:tcPr>
            <w:tcW w:w="843" w:type="dxa"/>
            <w:hideMark/>
          </w:tcPr>
          <w:p w14:paraId="16CD885D" w14:textId="77777777" w:rsidR="001B65B8" w:rsidRPr="001B65B8" w:rsidRDefault="001B65B8" w:rsidP="001B65B8">
            <w:r w:rsidRPr="001B65B8">
              <w:lastRenderedPageBreak/>
              <w:t>78</w:t>
            </w:r>
          </w:p>
        </w:tc>
        <w:tc>
          <w:tcPr>
            <w:tcW w:w="8616" w:type="dxa"/>
            <w:hideMark/>
          </w:tcPr>
          <w:p w14:paraId="65F519A5" w14:textId="73CA52A5" w:rsidR="001B65B8" w:rsidRPr="001B65B8" w:rsidRDefault="001B65B8" w:rsidP="006721CD">
            <w:r w:rsidRPr="001B65B8">
              <w:t xml:space="preserve">Inventory problems (1) Baseline and (2) complexity of reconciliation and validation with agencies, vendors and </w:t>
            </w:r>
            <w:r w:rsidR="006721CD">
              <w:t>Local Exchange Carriers (</w:t>
            </w:r>
            <w:r w:rsidRPr="001B65B8">
              <w:t>LECs</w:t>
            </w:r>
            <w:r w:rsidR="006721CD">
              <w:t>)</w:t>
            </w:r>
          </w:p>
        </w:tc>
      </w:tr>
      <w:tr w:rsidR="001B65B8" w:rsidRPr="001B65B8" w14:paraId="3F6BFC3F" w14:textId="77777777" w:rsidTr="0097702B">
        <w:trPr>
          <w:trHeight w:val="1155"/>
        </w:trPr>
        <w:tc>
          <w:tcPr>
            <w:tcW w:w="843" w:type="dxa"/>
            <w:hideMark/>
          </w:tcPr>
          <w:p w14:paraId="3757467D" w14:textId="77777777" w:rsidR="001B65B8" w:rsidRPr="001B65B8" w:rsidRDefault="001B65B8" w:rsidP="001B65B8">
            <w:r w:rsidRPr="001B65B8">
              <w:t>79</w:t>
            </w:r>
          </w:p>
        </w:tc>
        <w:tc>
          <w:tcPr>
            <w:tcW w:w="8616" w:type="dxa"/>
            <w:hideMark/>
          </w:tcPr>
          <w:p w14:paraId="2A37F2D7" w14:textId="77777777" w:rsidR="001B65B8" w:rsidRPr="001B65B8" w:rsidRDefault="001B65B8">
            <w:r w:rsidRPr="001B65B8">
              <w:t>Innovative approaches to minimize the FO impact to agency customers should be sought.  Examples of approaches to be considered include GSA making some FO decisions during initial contract award and offering pre-awarded, “turn-key” services, which would be similar to many current regional operations.</w:t>
            </w:r>
          </w:p>
        </w:tc>
      </w:tr>
      <w:tr w:rsidR="001B65B8" w:rsidRPr="001B65B8" w14:paraId="7DC57822" w14:textId="77777777" w:rsidTr="0097702B">
        <w:trPr>
          <w:trHeight w:val="870"/>
        </w:trPr>
        <w:tc>
          <w:tcPr>
            <w:tcW w:w="843" w:type="dxa"/>
            <w:hideMark/>
          </w:tcPr>
          <w:p w14:paraId="2CB8C412" w14:textId="77777777" w:rsidR="001B65B8" w:rsidRPr="001B65B8" w:rsidRDefault="001B65B8" w:rsidP="001B65B8">
            <w:r w:rsidRPr="001B65B8">
              <w:t>80</w:t>
            </w:r>
          </w:p>
        </w:tc>
        <w:tc>
          <w:tcPr>
            <w:tcW w:w="8616" w:type="dxa"/>
            <w:hideMark/>
          </w:tcPr>
          <w:p w14:paraId="4746AF72" w14:textId="77777777" w:rsidR="001B65B8" w:rsidRPr="001B65B8" w:rsidRDefault="001B65B8">
            <w:r w:rsidRPr="001B65B8">
              <w:t xml:space="preserve">GSA should anticipate agency customers to increasingly require </w:t>
            </w:r>
            <w:r w:rsidR="0028706B">
              <w:t>OTS</w:t>
            </w:r>
            <w:r w:rsidRPr="001B65B8">
              <w:t xml:space="preserve"> to (a) Provide significant support to facilitate transitions, and/or (b) Structure the contracts and transition processes to ease agency workloads</w:t>
            </w:r>
          </w:p>
        </w:tc>
      </w:tr>
      <w:tr w:rsidR="001B65B8" w:rsidRPr="001B65B8" w14:paraId="4323235E" w14:textId="77777777" w:rsidTr="0097702B">
        <w:trPr>
          <w:trHeight w:val="870"/>
        </w:trPr>
        <w:tc>
          <w:tcPr>
            <w:tcW w:w="843" w:type="dxa"/>
            <w:hideMark/>
          </w:tcPr>
          <w:p w14:paraId="1B9EBABF" w14:textId="77777777" w:rsidR="001B65B8" w:rsidRPr="001B65B8" w:rsidRDefault="001B65B8" w:rsidP="001B65B8">
            <w:r w:rsidRPr="001B65B8">
              <w:t>81</w:t>
            </w:r>
          </w:p>
        </w:tc>
        <w:tc>
          <w:tcPr>
            <w:tcW w:w="8616" w:type="dxa"/>
            <w:hideMark/>
          </w:tcPr>
          <w:p w14:paraId="336EF7BF" w14:textId="77777777" w:rsidR="001B65B8" w:rsidRPr="001B65B8" w:rsidRDefault="0028706B">
            <w:r>
              <w:t>OTS</w:t>
            </w:r>
            <w:r w:rsidR="001B65B8" w:rsidRPr="001B65B8">
              <w:t xml:space="preserve"> should propose the integration of the IMC into the Federal Chief Information Officer Council (CIOC), given the similar missions and synergies of the two governance boards.  This will ensure top-level attention to infrastructure activities.</w:t>
            </w:r>
          </w:p>
        </w:tc>
      </w:tr>
      <w:tr w:rsidR="001B65B8" w:rsidRPr="001B65B8" w14:paraId="0466131D" w14:textId="77777777" w:rsidTr="0097702B">
        <w:trPr>
          <w:trHeight w:val="615"/>
        </w:trPr>
        <w:tc>
          <w:tcPr>
            <w:tcW w:w="843" w:type="dxa"/>
            <w:hideMark/>
          </w:tcPr>
          <w:p w14:paraId="3610A3D7" w14:textId="77777777" w:rsidR="001B65B8" w:rsidRPr="001B65B8" w:rsidRDefault="001B65B8" w:rsidP="001B65B8">
            <w:r w:rsidRPr="001B65B8">
              <w:t>82</w:t>
            </w:r>
          </w:p>
        </w:tc>
        <w:tc>
          <w:tcPr>
            <w:tcW w:w="8616" w:type="dxa"/>
            <w:hideMark/>
          </w:tcPr>
          <w:p w14:paraId="376A4F04" w14:textId="77777777" w:rsidR="001B65B8" w:rsidRPr="001B65B8" w:rsidRDefault="001B65B8">
            <w:r w:rsidRPr="001B65B8">
              <w:t>Contractor's ordering and invoicing processes and systems have an impact on the success of the TCR process.</w:t>
            </w:r>
          </w:p>
        </w:tc>
      </w:tr>
      <w:tr w:rsidR="001B65B8" w:rsidRPr="001B65B8" w14:paraId="01975F29" w14:textId="77777777" w:rsidTr="0097702B">
        <w:trPr>
          <w:trHeight w:val="585"/>
        </w:trPr>
        <w:tc>
          <w:tcPr>
            <w:tcW w:w="843" w:type="dxa"/>
            <w:hideMark/>
          </w:tcPr>
          <w:p w14:paraId="5AF7FE06" w14:textId="77777777" w:rsidR="001B65B8" w:rsidRPr="001B65B8" w:rsidRDefault="001B65B8" w:rsidP="001B65B8">
            <w:r w:rsidRPr="001B65B8">
              <w:t>83</w:t>
            </w:r>
          </w:p>
        </w:tc>
        <w:tc>
          <w:tcPr>
            <w:tcW w:w="8616" w:type="dxa"/>
            <w:hideMark/>
          </w:tcPr>
          <w:p w14:paraId="76D918BF" w14:textId="77777777" w:rsidR="001B65B8" w:rsidRPr="001B65B8" w:rsidRDefault="001B65B8">
            <w:r w:rsidRPr="001B65B8">
              <w:t>Agency COs should meet with GSA’s Program COs for and advice and scope determinations questions.</w:t>
            </w:r>
          </w:p>
        </w:tc>
      </w:tr>
      <w:tr w:rsidR="001B65B8" w:rsidRPr="001B65B8" w14:paraId="2D209988" w14:textId="77777777" w:rsidTr="0097702B">
        <w:trPr>
          <w:trHeight w:val="585"/>
        </w:trPr>
        <w:tc>
          <w:tcPr>
            <w:tcW w:w="843" w:type="dxa"/>
            <w:hideMark/>
          </w:tcPr>
          <w:p w14:paraId="272A6078" w14:textId="77777777" w:rsidR="001B65B8" w:rsidRPr="001B65B8" w:rsidRDefault="001B65B8" w:rsidP="001B65B8">
            <w:r w:rsidRPr="001B65B8">
              <w:t>84</w:t>
            </w:r>
          </w:p>
        </w:tc>
        <w:tc>
          <w:tcPr>
            <w:tcW w:w="8616" w:type="dxa"/>
            <w:hideMark/>
          </w:tcPr>
          <w:p w14:paraId="1FC39465" w14:textId="77777777" w:rsidR="001B65B8" w:rsidRPr="001B65B8" w:rsidRDefault="001B65B8">
            <w:r w:rsidRPr="001B65B8">
              <w:t>Agencies should consider the effectiveness of separating Wide Area Network (WAN) decision from other systems.</w:t>
            </w:r>
          </w:p>
        </w:tc>
      </w:tr>
      <w:tr w:rsidR="001B65B8" w:rsidRPr="001B65B8" w14:paraId="69AA2CC0" w14:textId="77777777" w:rsidTr="0097702B">
        <w:trPr>
          <w:trHeight w:val="585"/>
        </w:trPr>
        <w:tc>
          <w:tcPr>
            <w:tcW w:w="843" w:type="dxa"/>
            <w:hideMark/>
          </w:tcPr>
          <w:p w14:paraId="56AEC664" w14:textId="77777777" w:rsidR="001B65B8" w:rsidRPr="001B65B8" w:rsidRDefault="001B65B8" w:rsidP="001B65B8">
            <w:r w:rsidRPr="001B65B8">
              <w:t>85</w:t>
            </w:r>
          </w:p>
        </w:tc>
        <w:tc>
          <w:tcPr>
            <w:tcW w:w="8616" w:type="dxa"/>
            <w:hideMark/>
          </w:tcPr>
          <w:p w14:paraId="09FDD392" w14:textId="77777777" w:rsidR="001B65B8" w:rsidRPr="001B65B8" w:rsidRDefault="001B65B8">
            <w:r w:rsidRPr="001B65B8">
              <w:t>Identity contract modifications for inside wiring, since most inside wiring is ICB on FTS2001 and Networx.</w:t>
            </w:r>
          </w:p>
        </w:tc>
      </w:tr>
      <w:tr w:rsidR="001B65B8" w:rsidRPr="001B65B8" w14:paraId="1911CD3C" w14:textId="77777777" w:rsidTr="0097702B">
        <w:trPr>
          <w:trHeight w:val="315"/>
        </w:trPr>
        <w:tc>
          <w:tcPr>
            <w:tcW w:w="843" w:type="dxa"/>
            <w:hideMark/>
          </w:tcPr>
          <w:p w14:paraId="4083C21A" w14:textId="77777777" w:rsidR="001B65B8" w:rsidRPr="001B65B8" w:rsidRDefault="001B65B8" w:rsidP="001B65B8">
            <w:r w:rsidRPr="001B65B8">
              <w:t>86</w:t>
            </w:r>
          </w:p>
        </w:tc>
        <w:tc>
          <w:tcPr>
            <w:tcW w:w="8616" w:type="dxa"/>
            <w:hideMark/>
          </w:tcPr>
          <w:p w14:paraId="19BA3F0E" w14:textId="77777777" w:rsidR="001B65B8" w:rsidRPr="001B65B8" w:rsidRDefault="001B65B8">
            <w:r w:rsidRPr="001B65B8">
              <w:t>Separate TIC solution Fair Opportunities from Transition Fair Opportunity decisions.</w:t>
            </w:r>
          </w:p>
        </w:tc>
      </w:tr>
      <w:tr w:rsidR="001B65B8" w:rsidRPr="001B65B8" w14:paraId="326A39B6" w14:textId="77777777" w:rsidTr="0097702B">
        <w:trPr>
          <w:trHeight w:val="315"/>
        </w:trPr>
        <w:tc>
          <w:tcPr>
            <w:tcW w:w="843" w:type="dxa"/>
            <w:hideMark/>
          </w:tcPr>
          <w:p w14:paraId="5AFB45C5" w14:textId="77777777" w:rsidR="001B65B8" w:rsidRPr="001B65B8" w:rsidRDefault="001B65B8" w:rsidP="001B65B8">
            <w:r w:rsidRPr="001B65B8">
              <w:t>87</w:t>
            </w:r>
          </w:p>
        </w:tc>
        <w:tc>
          <w:tcPr>
            <w:tcW w:w="8616" w:type="dxa"/>
            <w:hideMark/>
          </w:tcPr>
          <w:p w14:paraId="74B081A3" w14:textId="77777777" w:rsidR="001B65B8" w:rsidRPr="001B65B8" w:rsidRDefault="001B65B8">
            <w:r w:rsidRPr="001B65B8">
              <w:t>Agency should conduct Requests for Information (RFI) when writing their SOW.</w:t>
            </w:r>
          </w:p>
        </w:tc>
      </w:tr>
      <w:tr w:rsidR="001B65B8" w:rsidRPr="001B65B8" w14:paraId="571B6A79" w14:textId="77777777" w:rsidTr="0097702B">
        <w:trPr>
          <w:trHeight w:val="315"/>
        </w:trPr>
        <w:tc>
          <w:tcPr>
            <w:tcW w:w="843" w:type="dxa"/>
            <w:hideMark/>
          </w:tcPr>
          <w:p w14:paraId="3034B962" w14:textId="77777777" w:rsidR="001B65B8" w:rsidRPr="001B65B8" w:rsidRDefault="001B65B8" w:rsidP="001B65B8">
            <w:r w:rsidRPr="001B65B8">
              <w:t>88</w:t>
            </w:r>
          </w:p>
        </w:tc>
        <w:tc>
          <w:tcPr>
            <w:tcW w:w="8616" w:type="dxa"/>
            <w:hideMark/>
          </w:tcPr>
          <w:p w14:paraId="71B8BC44" w14:textId="77777777" w:rsidR="001B65B8" w:rsidRPr="001B65B8" w:rsidRDefault="001B65B8">
            <w:r w:rsidRPr="001B65B8">
              <w:t>Complete decisions on definitized CLINS first before the other decisions needed for the Agency.</w:t>
            </w:r>
          </w:p>
        </w:tc>
      </w:tr>
      <w:tr w:rsidR="001B65B8" w:rsidRPr="001B65B8" w14:paraId="19754425" w14:textId="77777777" w:rsidTr="0097702B">
        <w:trPr>
          <w:trHeight w:val="585"/>
        </w:trPr>
        <w:tc>
          <w:tcPr>
            <w:tcW w:w="843" w:type="dxa"/>
            <w:hideMark/>
          </w:tcPr>
          <w:p w14:paraId="51D081D7" w14:textId="77777777" w:rsidR="001B65B8" w:rsidRPr="001B65B8" w:rsidRDefault="001B65B8" w:rsidP="001B65B8">
            <w:r w:rsidRPr="001B65B8">
              <w:t>89</w:t>
            </w:r>
          </w:p>
        </w:tc>
        <w:tc>
          <w:tcPr>
            <w:tcW w:w="8616" w:type="dxa"/>
            <w:hideMark/>
          </w:tcPr>
          <w:p w14:paraId="471205CC" w14:textId="77777777" w:rsidR="001B65B8" w:rsidRPr="001B65B8" w:rsidRDefault="001B65B8">
            <w:r w:rsidRPr="001B65B8">
              <w:t>Agencies need a vendor supplied website that will provide a physical address for all data Networx services for validation of demark or service addresses</w:t>
            </w:r>
          </w:p>
        </w:tc>
      </w:tr>
      <w:tr w:rsidR="001B65B8" w:rsidRPr="001B65B8" w14:paraId="49FC57D0" w14:textId="77777777" w:rsidTr="0097702B">
        <w:trPr>
          <w:trHeight w:val="315"/>
        </w:trPr>
        <w:tc>
          <w:tcPr>
            <w:tcW w:w="843" w:type="dxa"/>
            <w:hideMark/>
          </w:tcPr>
          <w:p w14:paraId="42C3FB89" w14:textId="77777777" w:rsidR="001B65B8" w:rsidRPr="001B65B8" w:rsidRDefault="001B65B8" w:rsidP="001B65B8">
            <w:r w:rsidRPr="001B65B8">
              <w:t>90</w:t>
            </w:r>
          </w:p>
        </w:tc>
        <w:tc>
          <w:tcPr>
            <w:tcW w:w="8616" w:type="dxa"/>
            <w:hideMark/>
          </w:tcPr>
          <w:p w14:paraId="7395842B" w14:textId="77777777" w:rsidR="001B65B8" w:rsidRPr="001B65B8" w:rsidRDefault="001B65B8" w:rsidP="008E4FC1">
            <w:r w:rsidRPr="001B65B8">
              <w:t>Improve usability and interface of GSA's Networx Unit Pricer</w:t>
            </w:r>
          </w:p>
        </w:tc>
      </w:tr>
      <w:tr w:rsidR="001B65B8" w:rsidRPr="001B65B8" w14:paraId="5FD27AF4" w14:textId="77777777" w:rsidTr="0097702B">
        <w:trPr>
          <w:trHeight w:val="315"/>
        </w:trPr>
        <w:tc>
          <w:tcPr>
            <w:tcW w:w="843" w:type="dxa"/>
            <w:hideMark/>
          </w:tcPr>
          <w:p w14:paraId="70C19981" w14:textId="77777777" w:rsidR="001B65B8" w:rsidRPr="001B65B8" w:rsidRDefault="001B65B8" w:rsidP="001B65B8">
            <w:r w:rsidRPr="001B65B8">
              <w:t>91</w:t>
            </w:r>
          </w:p>
        </w:tc>
        <w:tc>
          <w:tcPr>
            <w:tcW w:w="8616" w:type="dxa"/>
            <w:hideMark/>
          </w:tcPr>
          <w:p w14:paraId="4E2AECFD" w14:textId="77777777" w:rsidR="001B65B8" w:rsidRPr="001B65B8" w:rsidRDefault="001B65B8">
            <w:r w:rsidRPr="001B65B8">
              <w:t>Make Lessons Learned, FAQs and Knowledge Base readily available to Agencies.</w:t>
            </w:r>
          </w:p>
        </w:tc>
      </w:tr>
      <w:tr w:rsidR="001B65B8" w:rsidRPr="001B65B8" w14:paraId="2143AD60" w14:textId="77777777" w:rsidTr="0097702B">
        <w:trPr>
          <w:trHeight w:val="585"/>
        </w:trPr>
        <w:tc>
          <w:tcPr>
            <w:tcW w:w="843" w:type="dxa"/>
            <w:hideMark/>
          </w:tcPr>
          <w:p w14:paraId="28C3C2B3" w14:textId="77777777" w:rsidR="001B65B8" w:rsidRPr="001B65B8" w:rsidRDefault="001B65B8" w:rsidP="001B65B8">
            <w:r w:rsidRPr="001B65B8">
              <w:t>92</w:t>
            </w:r>
          </w:p>
        </w:tc>
        <w:tc>
          <w:tcPr>
            <w:tcW w:w="8616" w:type="dxa"/>
            <w:hideMark/>
          </w:tcPr>
          <w:p w14:paraId="7911219E" w14:textId="77777777" w:rsidR="001B65B8" w:rsidRPr="001B65B8" w:rsidRDefault="001B65B8">
            <w:r w:rsidRPr="001B65B8">
              <w:t>Agencies should continuously and regularly validate their inventory throughout the Networx contract-monthly if possible.</w:t>
            </w:r>
          </w:p>
        </w:tc>
      </w:tr>
      <w:tr w:rsidR="001B65B8" w:rsidRPr="001B65B8" w14:paraId="28BD781D" w14:textId="77777777" w:rsidTr="0097702B">
        <w:trPr>
          <w:trHeight w:val="315"/>
        </w:trPr>
        <w:tc>
          <w:tcPr>
            <w:tcW w:w="843" w:type="dxa"/>
            <w:hideMark/>
          </w:tcPr>
          <w:p w14:paraId="3C5F02D5" w14:textId="77777777" w:rsidR="001B65B8" w:rsidRPr="001B65B8" w:rsidRDefault="001B65B8" w:rsidP="001B65B8">
            <w:r w:rsidRPr="001B65B8">
              <w:t>93</w:t>
            </w:r>
          </w:p>
        </w:tc>
        <w:tc>
          <w:tcPr>
            <w:tcW w:w="8616" w:type="dxa"/>
            <w:hideMark/>
          </w:tcPr>
          <w:p w14:paraId="23FC7FBF" w14:textId="77777777" w:rsidR="001B65B8" w:rsidRPr="001B65B8" w:rsidRDefault="001B65B8">
            <w:r w:rsidRPr="001B65B8">
              <w:t>Networx Pricer needs mechanism for pricing current inventory.</w:t>
            </w:r>
          </w:p>
        </w:tc>
      </w:tr>
      <w:tr w:rsidR="001B65B8" w:rsidRPr="001B65B8" w14:paraId="0A0D9701" w14:textId="77777777" w:rsidTr="0097702B">
        <w:trPr>
          <w:trHeight w:val="585"/>
        </w:trPr>
        <w:tc>
          <w:tcPr>
            <w:tcW w:w="843" w:type="dxa"/>
            <w:hideMark/>
          </w:tcPr>
          <w:p w14:paraId="07B5AD15" w14:textId="77777777" w:rsidR="001B65B8" w:rsidRPr="001B65B8" w:rsidRDefault="001B65B8" w:rsidP="001B65B8">
            <w:r w:rsidRPr="001B65B8">
              <w:t>94</w:t>
            </w:r>
          </w:p>
        </w:tc>
        <w:tc>
          <w:tcPr>
            <w:tcW w:w="8616" w:type="dxa"/>
            <w:hideMark/>
          </w:tcPr>
          <w:p w14:paraId="5FBDA91D" w14:textId="77777777" w:rsidR="001B65B8" w:rsidRPr="001B65B8" w:rsidRDefault="001B65B8">
            <w:r w:rsidRPr="001B65B8">
              <w:t>Vendor OSS/notifications were unreliable and need to be sent in accordance with GSA established SLAs</w:t>
            </w:r>
          </w:p>
        </w:tc>
      </w:tr>
      <w:tr w:rsidR="001B65B8" w:rsidRPr="001B65B8" w14:paraId="5A569F76" w14:textId="77777777" w:rsidTr="0097702B">
        <w:trPr>
          <w:trHeight w:val="615"/>
        </w:trPr>
        <w:tc>
          <w:tcPr>
            <w:tcW w:w="843" w:type="dxa"/>
            <w:hideMark/>
          </w:tcPr>
          <w:p w14:paraId="4666B032" w14:textId="77777777" w:rsidR="001B65B8" w:rsidRPr="001B65B8" w:rsidRDefault="001B65B8" w:rsidP="001B65B8">
            <w:r w:rsidRPr="001B65B8">
              <w:t>95</w:t>
            </w:r>
          </w:p>
        </w:tc>
        <w:tc>
          <w:tcPr>
            <w:tcW w:w="8616" w:type="dxa"/>
            <w:hideMark/>
          </w:tcPr>
          <w:p w14:paraId="6C8235CB" w14:textId="77777777" w:rsidR="001B65B8" w:rsidRPr="001B65B8" w:rsidRDefault="001B65B8">
            <w:r w:rsidRPr="001B65B8">
              <w:t>The regional business model, including service offerings, should be adjusted to account for changes in technology.</w:t>
            </w:r>
          </w:p>
        </w:tc>
      </w:tr>
      <w:tr w:rsidR="001B65B8" w:rsidRPr="001B65B8" w14:paraId="5DE379BD" w14:textId="77777777" w:rsidTr="0097702B">
        <w:trPr>
          <w:trHeight w:val="585"/>
        </w:trPr>
        <w:tc>
          <w:tcPr>
            <w:tcW w:w="843" w:type="dxa"/>
            <w:hideMark/>
          </w:tcPr>
          <w:p w14:paraId="48304F4D" w14:textId="77777777" w:rsidR="001B65B8" w:rsidRPr="001B65B8" w:rsidRDefault="001B65B8" w:rsidP="001B65B8">
            <w:r w:rsidRPr="001B65B8">
              <w:t>96</w:t>
            </w:r>
          </w:p>
        </w:tc>
        <w:tc>
          <w:tcPr>
            <w:tcW w:w="8616" w:type="dxa"/>
            <w:hideMark/>
          </w:tcPr>
          <w:p w14:paraId="005F2A39" w14:textId="77777777" w:rsidR="001B65B8" w:rsidRPr="001B65B8" w:rsidRDefault="001B65B8">
            <w:r w:rsidRPr="001B65B8">
              <w:t xml:space="preserve">GSA should provide more proactive </w:t>
            </w:r>
            <w:r w:rsidR="0028706B">
              <w:t>OTS</w:t>
            </w:r>
            <w:r w:rsidRPr="001B65B8">
              <w:t xml:space="preserve"> responses to unexpected issues as they arise, before they result in significant negative consequences.</w:t>
            </w:r>
          </w:p>
        </w:tc>
      </w:tr>
    </w:tbl>
    <w:p w14:paraId="7AC227DE" w14:textId="77777777" w:rsidR="00C07F17" w:rsidRDefault="00C07F17" w:rsidP="00C07F17">
      <w:pPr>
        <w:sectPr w:rsidR="00C07F17" w:rsidSect="00040F3E">
          <w:pgSz w:w="12240" w:h="15840" w:code="1"/>
          <w:pgMar w:top="1440" w:right="1440" w:bottom="1440" w:left="1440" w:header="720" w:footer="720" w:gutter="0"/>
          <w:cols w:space="720"/>
          <w:titlePg/>
          <w:docGrid w:linePitch="360"/>
        </w:sectPr>
      </w:pPr>
    </w:p>
    <w:p w14:paraId="05806092" w14:textId="77777777" w:rsidR="00C07F17" w:rsidRDefault="00C07F17" w:rsidP="00E436C5">
      <w:pPr>
        <w:pStyle w:val="Appendix"/>
        <w:jc w:val="center"/>
      </w:pPr>
      <w:bookmarkStart w:id="166" w:name="_Toc12525485"/>
      <w:bookmarkStart w:id="167" w:name="_Toc498950306"/>
      <w:bookmarkStart w:id="168" w:name="_Toc107325316"/>
      <w:r>
        <w:lastRenderedPageBreak/>
        <w:t>A</w:t>
      </w:r>
      <w:r w:rsidRPr="00870F52">
        <w:t xml:space="preserve">ppendix </w:t>
      </w:r>
      <w:r>
        <w:t>D</w:t>
      </w:r>
      <w:r w:rsidRPr="00870F52">
        <w:t xml:space="preserve"> – </w:t>
      </w:r>
      <w:r>
        <w:t>Sample Dashboard</w:t>
      </w:r>
      <w:r w:rsidR="0028706B">
        <w:t xml:space="preserve"> Reports for Large and Medium Agencies’ Transition Progress</w:t>
      </w:r>
      <w:bookmarkEnd w:id="166"/>
      <w:bookmarkEnd w:id="167"/>
      <w:bookmarkEnd w:id="168"/>
    </w:p>
    <w:p w14:paraId="29056A54" w14:textId="77777777" w:rsidR="0028706B" w:rsidRDefault="0028706B" w:rsidP="0097702B"/>
    <w:p w14:paraId="4FCCCF36" w14:textId="77777777" w:rsidR="0028706B" w:rsidRDefault="0028706B" w:rsidP="0097702B">
      <w:pPr>
        <w:jc w:val="left"/>
      </w:pPr>
      <w:r>
        <w:t>Large Agencies</w:t>
      </w:r>
    </w:p>
    <w:p w14:paraId="7F363B61" w14:textId="77777777" w:rsidR="0028706B" w:rsidRDefault="0028706B" w:rsidP="0028706B">
      <w:pPr>
        <w:ind w:left="-630"/>
      </w:pPr>
    </w:p>
    <w:p w14:paraId="7CB72047" w14:textId="07AFBAED" w:rsidR="0028706B" w:rsidRDefault="00961640" w:rsidP="003D5EA0">
      <w:pPr>
        <w:widowControl/>
        <w:autoSpaceDE/>
        <w:autoSpaceDN/>
        <w:adjustRightInd/>
        <w:ind w:left="-630"/>
        <w:jc w:val="center"/>
      </w:pPr>
      <w:r>
        <w:rPr>
          <w:noProof/>
        </w:rPr>
        <w:drawing>
          <wp:inline distT="0" distB="0" distL="0" distR="0" wp14:anchorId="59E0EB5A" wp14:editId="4CF667E7">
            <wp:extent cx="6401435" cy="3633470"/>
            <wp:effectExtent l="0" t="0" r="0" b="5080"/>
            <wp:docPr id="4" name="Picture 4" descr="Table containing sample data for Dashboard Report for Large Agencies containing the following elements and metrics: Agency, EIS FO Solicitations Passes GSA In-Scope Review, EIS FO Solicitations Issued to Industry, Other than EIS FO Solicitations Issued to Industry, EIS Task Orders Awarded, Other than EIS Task Orders Awarded, Transition SIR PWV% Completed (Disconn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 containing sample data for Dashboard Report for Large Agencies containing the following elements and metrics: Agency, EIS FO Solicitations Passes GSA In-Scope Review, EIS FO Solicitations Issued to Industry, Other than EIS FO Solicitations Issued to Industry, EIS Task Orders Awarded, Other than EIS Task Orders Awarded, Transition SIR PWV% Completed (Disconnec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01435" cy="3633470"/>
                    </a:xfrm>
                    <a:prstGeom prst="rect">
                      <a:avLst/>
                    </a:prstGeom>
                    <a:noFill/>
                  </pic:spPr>
                </pic:pic>
              </a:graphicData>
            </a:graphic>
          </wp:inline>
        </w:drawing>
      </w:r>
      <w:r w:rsidR="0028706B">
        <w:br w:type="page"/>
      </w:r>
    </w:p>
    <w:p w14:paraId="185E37EF" w14:textId="04DC3898" w:rsidR="0028706B" w:rsidRDefault="0028706B" w:rsidP="0097702B">
      <w:pPr>
        <w:jc w:val="left"/>
      </w:pPr>
      <w:r>
        <w:lastRenderedPageBreak/>
        <w:t>Medium Agencies</w:t>
      </w:r>
    </w:p>
    <w:p w14:paraId="0F73CCDA" w14:textId="77777777" w:rsidR="00961640" w:rsidRDefault="00961640" w:rsidP="00E03C8B">
      <w:pPr>
        <w:jc w:val="left"/>
      </w:pPr>
    </w:p>
    <w:p w14:paraId="71949447" w14:textId="6DEBA9C1" w:rsidR="0028706B" w:rsidRDefault="00961640" w:rsidP="003D5EA0">
      <w:pPr>
        <w:ind w:left="-720"/>
        <w:jc w:val="center"/>
      </w:pPr>
      <w:r>
        <w:rPr>
          <w:noProof/>
        </w:rPr>
        <w:drawing>
          <wp:inline distT="0" distB="0" distL="0" distR="0" wp14:anchorId="56D3C090" wp14:editId="4CDAFD98">
            <wp:extent cx="6401435" cy="4968875"/>
            <wp:effectExtent l="0" t="0" r="0" b="3175"/>
            <wp:docPr id="6" name="Picture 6" descr="Table containing sample data for Dashboard Report for Medium Agencies containing the following elements and metrics: Agency, EIS FO Solicitations Passes GSA In-Scope Review, EIS FO Solicitations Issued to Industry, Other than EIS FO Solicitations Issued to Industry, EIS Task Orders Awarded, Other than EIS Task Orders Awarded, Transition SIR PWV% Completed (Disconn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 containing sample data for Dashboard Report for Medium Agencies containing the following elements and metrics: Agency, EIS FO Solicitations Passes GSA In-Scope Review, EIS FO Solicitations Issued to Industry, Other than EIS FO Solicitations Issued to Industry, EIS Task Orders Awarded, Other than EIS Task Orders Awarded, Transition SIR PWV% Completed (Disconnec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01435" cy="4968875"/>
                    </a:xfrm>
                    <a:prstGeom prst="rect">
                      <a:avLst/>
                    </a:prstGeom>
                    <a:noFill/>
                  </pic:spPr>
                </pic:pic>
              </a:graphicData>
            </a:graphic>
          </wp:inline>
        </w:drawing>
      </w:r>
    </w:p>
    <w:p w14:paraId="12245918" w14:textId="77777777" w:rsidR="00961640" w:rsidRDefault="00961640">
      <w:pPr>
        <w:widowControl/>
        <w:autoSpaceDE/>
        <w:autoSpaceDN/>
        <w:adjustRightInd/>
        <w:jc w:val="left"/>
        <w:rPr>
          <w:rFonts w:eastAsiaTheme="majorEastAsia"/>
          <w:b/>
          <w:sz w:val="28"/>
          <w:szCs w:val="20"/>
        </w:rPr>
      </w:pPr>
      <w:r>
        <w:br w:type="page"/>
      </w:r>
    </w:p>
    <w:p w14:paraId="3DDF2ADE" w14:textId="6677406F" w:rsidR="00357371" w:rsidRPr="00A23B3F" w:rsidRDefault="00357371" w:rsidP="00E436C5">
      <w:pPr>
        <w:pStyle w:val="Appendix"/>
        <w:jc w:val="center"/>
      </w:pPr>
      <w:bookmarkStart w:id="169" w:name="_Toc12525486"/>
      <w:bookmarkStart w:id="170" w:name="_Toc498950307"/>
      <w:bookmarkStart w:id="171" w:name="_Toc107325317"/>
      <w:bookmarkStart w:id="172" w:name="_Hlk9259717"/>
      <w:r w:rsidRPr="00A23B3F">
        <w:lastRenderedPageBreak/>
        <w:t>Appendix E –</w:t>
      </w:r>
      <w:r w:rsidR="00CB3B3B">
        <w:t xml:space="preserve"> </w:t>
      </w:r>
      <w:r w:rsidR="006B0B5B" w:rsidRPr="00A23B3F">
        <w:t xml:space="preserve">Agency </w:t>
      </w:r>
      <w:r w:rsidRPr="00A23B3F">
        <w:t>Transition Checklist</w:t>
      </w:r>
      <w:bookmarkEnd w:id="169"/>
      <w:bookmarkEnd w:id="170"/>
      <w:bookmarkEnd w:id="171"/>
    </w:p>
    <w:bookmarkEnd w:id="172"/>
    <w:p w14:paraId="357C58B2" w14:textId="77777777" w:rsidR="006B0B5B" w:rsidRPr="00A23B3F" w:rsidRDefault="006B0B5B" w:rsidP="005D7412">
      <w:pPr>
        <w:widowControl/>
        <w:tabs>
          <w:tab w:val="left" w:pos="3150"/>
        </w:tabs>
        <w:autoSpaceDE/>
        <w:autoSpaceDN/>
        <w:adjustRightInd/>
        <w:spacing w:after="120"/>
      </w:pPr>
    </w:p>
    <w:tbl>
      <w:tblPr>
        <w:tblStyle w:val="TableGrid"/>
        <w:tblW w:w="10525" w:type="dxa"/>
        <w:jc w:val="center"/>
        <w:tblLook w:val="04A0" w:firstRow="1" w:lastRow="0" w:firstColumn="1" w:lastColumn="0" w:noHBand="0" w:noVBand="1"/>
      </w:tblPr>
      <w:tblGrid>
        <w:gridCol w:w="2875"/>
        <w:gridCol w:w="5760"/>
        <w:gridCol w:w="540"/>
        <w:gridCol w:w="1350"/>
      </w:tblGrid>
      <w:tr w:rsidR="004F55E8" w:rsidRPr="007A4B19" w14:paraId="0F0E505A" w14:textId="77777777" w:rsidTr="0014363D">
        <w:trPr>
          <w:cantSplit/>
          <w:trHeight w:val="287"/>
          <w:tblHeader/>
          <w:jc w:val="center"/>
        </w:trPr>
        <w:tc>
          <w:tcPr>
            <w:tcW w:w="2875" w:type="dxa"/>
            <w:shd w:val="clear" w:color="auto" w:fill="365F91" w:themeFill="accent1" w:themeFillShade="BF"/>
            <w:vAlign w:val="center"/>
          </w:tcPr>
          <w:p w14:paraId="7E637A87" w14:textId="77777777" w:rsidR="002E09C4" w:rsidRPr="00A23B3F" w:rsidRDefault="002E09C4" w:rsidP="00C13FBB">
            <w:pPr>
              <w:widowControl/>
              <w:tabs>
                <w:tab w:val="left" w:pos="3150"/>
              </w:tabs>
              <w:autoSpaceDE/>
              <w:autoSpaceDN/>
              <w:adjustRightInd/>
              <w:spacing w:after="120"/>
              <w:jc w:val="left"/>
              <w:rPr>
                <w:rFonts w:eastAsia="Calibri"/>
                <w:b/>
                <w:color w:val="FFFFFF" w:themeColor="background1"/>
                <w:sz w:val="20"/>
                <w:szCs w:val="20"/>
              </w:rPr>
            </w:pPr>
            <w:r w:rsidRPr="00A23B3F">
              <w:rPr>
                <w:rFonts w:eastAsia="Calibri"/>
                <w:b/>
                <w:color w:val="FFFFFF" w:themeColor="background1"/>
                <w:sz w:val="20"/>
                <w:szCs w:val="20"/>
              </w:rPr>
              <w:t>Agency Checklist Act</w:t>
            </w:r>
            <w:r w:rsidR="00C13FBB" w:rsidRPr="00A23B3F">
              <w:rPr>
                <w:rFonts w:eastAsia="Calibri"/>
                <w:b/>
                <w:color w:val="FFFFFF" w:themeColor="background1"/>
                <w:sz w:val="20"/>
                <w:szCs w:val="20"/>
              </w:rPr>
              <w:t>ions</w:t>
            </w:r>
          </w:p>
        </w:tc>
        <w:tc>
          <w:tcPr>
            <w:tcW w:w="5760" w:type="dxa"/>
            <w:shd w:val="clear" w:color="auto" w:fill="365F91" w:themeFill="accent1" w:themeFillShade="BF"/>
            <w:vAlign w:val="center"/>
          </w:tcPr>
          <w:p w14:paraId="49609364" w14:textId="77777777" w:rsidR="002E09C4" w:rsidRPr="00A23B3F" w:rsidRDefault="002E09C4" w:rsidP="00FC514D">
            <w:pPr>
              <w:widowControl/>
              <w:tabs>
                <w:tab w:val="left" w:pos="3150"/>
              </w:tabs>
              <w:autoSpaceDE/>
              <w:autoSpaceDN/>
              <w:adjustRightInd/>
              <w:spacing w:after="120"/>
              <w:jc w:val="left"/>
              <w:rPr>
                <w:b/>
                <w:color w:val="FFFFFF" w:themeColor="background1"/>
                <w:sz w:val="20"/>
                <w:szCs w:val="20"/>
              </w:rPr>
            </w:pPr>
            <w:r w:rsidRPr="00A23B3F">
              <w:rPr>
                <w:rFonts w:eastAsia="Calibri"/>
                <w:b/>
                <w:color w:val="FFFFFF" w:themeColor="background1"/>
                <w:sz w:val="20"/>
                <w:szCs w:val="20"/>
              </w:rPr>
              <w:t>Additional Details</w:t>
            </w:r>
          </w:p>
        </w:tc>
        <w:sdt>
          <w:sdtPr>
            <w:rPr>
              <w:rFonts w:eastAsia="Calibri"/>
              <w:b/>
              <w:color w:val="FFFFFF" w:themeColor="background1"/>
              <w:sz w:val="20"/>
              <w:szCs w:val="20"/>
            </w:rPr>
            <w:id w:val="-657302613"/>
            <w14:checkbox>
              <w14:checked w14:val="1"/>
              <w14:checkedState w14:val="00FE" w14:font="Wingdings"/>
              <w14:uncheckedState w14:val="2610" w14:font="MS Gothic"/>
            </w14:checkbox>
          </w:sdtPr>
          <w:sdtEndPr/>
          <w:sdtContent>
            <w:tc>
              <w:tcPr>
                <w:tcW w:w="540" w:type="dxa"/>
                <w:shd w:val="clear" w:color="auto" w:fill="365F91" w:themeFill="accent1" w:themeFillShade="BF"/>
                <w:vAlign w:val="center"/>
              </w:tcPr>
              <w:p w14:paraId="19033108" w14:textId="478B9708" w:rsidR="002E09C4" w:rsidRPr="00A23B3F" w:rsidRDefault="00994B91" w:rsidP="00FC514D">
                <w:pPr>
                  <w:widowControl/>
                  <w:tabs>
                    <w:tab w:val="left" w:pos="3150"/>
                  </w:tabs>
                  <w:autoSpaceDE/>
                  <w:autoSpaceDN/>
                  <w:adjustRightInd/>
                  <w:spacing w:after="120"/>
                  <w:jc w:val="center"/>
                  <w:rPr>
                    <w:rFonts w:eastAsia="Calibri"/>
                    <w:b/>
                    <w:color w:val="FFFFFF" w:themeColor="background1"/>
                    <w:sz w:val="20"/>
                    <w:szCs w:val="20"/>
                  </w:rPr>
                </w:pPr>
                <w:r>
                  <w:rPr>
                    <w:rFonts w:eastAsia="Calibri"/>
                    <w:b/>
                    <w:color w:val="FFFFFF" w:themeColor="background1"/>
                    <w:sz w:val="20"/>
                    <w:szCs w:val="20"/>
                  </w:rPr>
                  <w:sym w:font="Wingdings" w:char="F0FE"/>
                </w:r>
              </w:p>
            </w:tc>
          </w:sdtContent>
        </w:sdt>
        <w:tc>
          <w:tcPr>
            <w:tcW w:w="1350" w:type="dxa"/>
            <w:shd w:val="clear" w:color="auto" w:fill="365F91" w:themeFill="accent1" w:themeFillShade="BF"/>
            <w:vAlign w:val="center"/>
          </w:tcPr>
          <w:p w14:paraId="2A7CC13F" w14:textId="77777777" w:rsidR="002E09C4" w:rsidRPr="00A23B3F" w:rsidRDefault="002E09C4" w:rsidP="00FC514D">
            <w:pPr>
              <w:widowControl/>
              <w:tabs>
                <w:tab w:val="left" w:pos="3150"/>
              </w:tabs>
              <w:autoSpaceDE/>
              <w:autoSpaceDN/>
              <w:adjustRightInd/>
              <w:spacing w:after="120"/>
              <w:jc w:val="center"/>
              <w:rPr>
                <w:rFonts w:eastAsia="Calibri"/>
                <w:b/>
                <w:color w:val="FFFFFF" w:themeColor="background1"/>
                <w:sz w:val="20"/>
                <w:szCs w:val="20"/>
              </w:rPr>
            </w:pPr>
            <w:r w:rsidRPr="00A23B3F">
              <w:rPr>
                <w:rFonts w:eastAsia="Calibri"/>
                <w:b/>
                <w:color w:val="FFFFFF" w:themeColor="background1"/>
                <w:sz w:val="20"/>
                <w:szCs w:val="20"/>
              </w:rPr>
              <w:t>Target Date</w:t>
            </w:r>
          </w:p>
        </w:tc>
      </w:tr>
      <w:tr w:rsidR="004F55E8" w:rsidRPr="007A4B19" w14:paraId="5FA90964" w14:textId="77777777" w:rsidTr="0014363D">
        <w:trPr>
          <w:cantSplit/>
          <w:trHeight w:val="260"/>
          <w:jc w:val="center"/>
        </w:trPr>
        <w:tc>
          <w:tcPr>
            <w:tcW w:w="2875" w:type="dxa"/>
            <w:vMerge w:val="restart"/>
            <w:shd w:val="clear" w:color="auto" w:fill="DBE5F1" w:themeFill="accent1" w:themeFillTint="33"/>
            <w:vAlign w:val="center"/>
          </w:tcPr>
          <w:p w14:paraId="332D4498" w14:textId="33D1717D" w:rsidR="005D7412" w:rsidRPr="00E436C5" w:rsidRDefault="005D7412" w:rsidP="00844874">
            <w:pPr>
              <w:widowControl/>
              <w:tabs>
                <w:tab w:val="left" w:pos="3150"/>
              </w:tabs>
              <w:autoSpaceDE/>
              <w:autoSpaceDN/>
              <w:adjustRightInd/>
              <w:spacing w:after="120"/>
              <w:jc w:val="left"/>
              <w:rPr>
                <w:rFonts w:eastAsia="Calibri"/>
                <w:sz w:val="18"/>
              </w:rPr>
            </w:pPr>
            <w:r w:rsidRPr="00E436C5">
              <w:rPr>
                <w:rFonts w:eastAsia="Calibri"/>
                <w:sz w:val="18"/>
              </w:rPr>
              <w:t xml:space="preserve">Identify </w:t>
            </w:r>
            <w:r w:rsidR="00844874" w:rsidRPr="004E72E6">
              <w:rPr>
                <w:rFonts w:eastAsia="Calibri"/>
                <w:sz w:val="18"/>
                <w:szCs w:val="18"/>
              </w:rPr>
              <w:t>transition</w:t>
            </w:r>
            <w:r w:rsidR="00844874" w:rsidRPr="00E436C5">
              <w:rPr>
                <w:rFonts w:eastAsia="Calibri"/>
                <w:sz w:val="18"/>
              </w:rPr>
              <w:t xml:space="preserve"> </w:t>
            </w:r>
            <w:r w:rsidRPr="00E436C5">
              <w:rPr>
                <w:rFonts w:eastAsia="Calibri"/>
                <w:sz w:val="18"/>
              </w:rPr>
              <w:t>points of contact</w:t>
            </w:r>
          </w:p>
        </w:tc>
        <w:tc>
          <w:tcPr>
            <w:tcW w:w="5760" w:type="dxa"/>
            <w:shd w:val="clear" w:color="auto" w:fill="DBE5F1" w:themeFill="accent1" w:themeFillTint="33"/>
            <w:vAlign w:val="center"/>
          </w:tcPr>
          <w:p w14:paraId="6AAD4206" w14:textId="77777777" w:rsidR="005D7412" w:rsidRPr="00E436C5" w:rsidRDefault="00F555B6" w:rsidP="004D3659">
            <w:pPr>
              <w:widowControl/>
              <w:autoSpaceDE/>
              <w:autoSpaceDN/>
              <w:adjustRightInd/>
              <w:jc w:val="left"/>
              <w:rPr>
                <w:color w:val="000000"/>
                <w:sz w:val="18"/>
              </w:rPr>
            </w:pPr>
            <w:r w:rsidRPr="00E436C5">
              <w:rPr>
                <w:color w:val="000000"/>
                <w:sz w:val="18"/>
              </w:rPr>
              <w:t>Agency Transition Sponsor</w:t>
            </w:r>
          </w:p>
        </w:tc>
        <w:sdt>
          <w:sdtPr>
            <w:rPr>
              <w:rFonts w:ascii="Segoe UI Symbol" w:eastAsia="MS Gothic" w:hAnsi="Segoe UI Symbol" w:cs="Segoe UI Symbol"/>
              <w:sz w:val="20"/>
              <w:szCs w:val="20"/>
            </w:rPr>
            <w:id w:val="-20788720"/>
            <w14:checkbox>
              <w14:checked w14:val="0"/>
              <w14:checkedState w14:val="00FE" w14:font="Wingdings"/>
              <w14:uncheckedState w14:val="2610" w14:font="MS Gothic"/>
            </w14:checkbox>
          </w:sdtPr>
          <w:sdtEndPr/>
          <w:sdtContent>
            <w:tc>
              <w:tcPr>
                <w:tcW w:w="540" w:type="dxa"/>
                <w:vMerge w:val="restart"/>
                <w:shd w:val="clear" w:color="auto" w:fill="DBE5F1" w:themeFill="accent1" w:themeFillTint="33"/>
                <w:vAlign w:val="center"/>
              </w:tcPr>
              <w:p w14:paraId="13CAD2F9" w14:textId="56525901" w:rsidR="005D7412" w:rsidRPr="00A23B3F" w:rsidRDefault="000B708C" w:rsidP="004D3659">
                <w:pPr>
                  <w:widowControl/>
                  <w:tabs>
                    <w:tab w:val="left" w:pos="3150"/>
                  </w:tabs>
                  <w:autoSpaceDE/>
                  <w:autoSpaceDN/>
                  <w:adjustRightInd/>
                  <w:spacing w:after="120"/>
                  <w:jc w:val="center"/>
                  <w:rPr>
                    <w:rFonts w:eastAsia="Calibri"/>
                    <w:sz w:val="20"/>
                    <w:szCs w:val="20"/>
                  </w:rPr>
                </w:pPr>
                <w:r w:rsidRPr="00A23B3F">
                  <w:rPr>
                    <w:rFonts w:ascii="Segoe UI Symbol" w:eastAsia="MS Gothic" w:hAnsi="Segoe UI Symbol" w:cs="Segoe UI Symbol"/>
                    <w:sz w:val="20"/>
                    <w:szCs w:val="20"/>
                  </w:rPr>
                  <w:t>☐</w:t>
                </w:r>
              </w:p>
            </w:tc>
          </w:sdtContent>
        </w:sdt>
        <w:tc>
          <w:tcPr>
            <w:tcW w:w="1350" w:type="dxa"/>
            <w:vMerge w:val="restart"/>
            <w:shd w:val="clear" w:color="auto" w:fill="DBE5F1" w:themeFill="accent1" w:themeFillTint="33"/>
            <w:vAlign w:val="center"/>
          </w:tcPr>
          <w:p w14:paraId="670C586C" w14:textId="77777777" w:rsidR="005D7412" w:rsidRPr="00E436C5" w:rsidRDefault="005D7412" w:rsidP="0014363D">
            <w:pPr>
              <w:widowControl/>
              <w:tabs>
                <w:tab w:val="left" w:pos="3150"/>
              </w:tabs>
              <w:autoSpaceDE/>
              <w:autoSpaceDN/>
              <w:adjustRightInd/>
              <w:spacing w:after="120"/>
              <w:jc w:val="center"/>
              <w:rPr>
                <w:rFonts w:eastAsia="Calibri"/>
                <w:sz w:val="18"/>
              </w:rPr>
            </w:pPr>
            <w:r w:rsidRPr="00E436C5">
              <w:rPr>
                <w:rFonts w:eastAsia="Calibri"/>
                <w:sz w:val="18"/>
              </w:rPr>
              <w:t>May 2016</w:t>
            </w:r>
          </w:p>
        </w:tc>
      </w:tr>
      <w:tr w:rsidR="004F55E8" w:rsidRPr="007A4B19" w14:paraId="7BDCEA5B" w14:textId="77777777" w:rsidTr="0014363D">
        <w:trPr>
          <w:cantSplit/>
          <w:trHeight w:val="260"/>
          <w:jc w:val="center"/>
        </w:trPr>
        <w:tc>
          <w:tcPr>
            <w:tcW w:w="2875" w:type="dxa"/>
            <w:vMerge/>
          </w:tcPr>
          <w:p w14:paraId="72DA1937" w14:textId="77777777" w:rsidR="005D7412" w:rsidRPr="004E72E6" w:rsidRDefault="005D7412" w:rsidP="004D3659">
            <w:pPr>
              <w:widowControl/>
              <w:tabs>
                <w:tab w:val="left" w:pos="3150"/>
              </w:tabs>
              <w:autoSpaceDE/>
              <w:autoSpaceDN/>
              <w:adjustRightInd/>
              <w:spacing w:after="120"/>
              <w:rPr>
                <w:rFonts w:eastAsia="Calibri"/>
                <w:b/>
                <w:sz w:val="18"/>
                <w:szCs w:val="18"/>
              </w:rPr>
            </w:pPr>
          </w:p>
        </w:tc>
        <w:tc>
          <w:tcPr>
            <w:tcW w:w="5760" w:type="dxa"/>
            <w:shd w:val="clear" w:color="auto" w:fill="DBE5F1" w:themeFill="accent1" w:themeFillTint="33"/>
            <w:vAlign w:val="center"/>
          </w:tcPr>
          <w:p w14:paraId="340655A8" w14:textId="77777777" w:rsidR="005D7412" w:rsidRPr="00C510B5" w:rsidRDefault="005D7412" w:rsidP="004D3659">
            <w:pPr>
              <w:widowControl/>
              <w:autoSpaceDE/>
              <w:autoSpaceDN/>
              <w:adjustRightInd/>
              <w:jc w:val="left"/>
              <w:rPr>
                <w:color w:val="000000"/>
                <w:sz w:val="18"/>
                <w:szCs w:val="20"/>
              </w:rPr>
            </w:pPr>
            <w:r w:rsidRPr="00C510B5">
              <w:rPr>
                <w:color w:val="000000"/>
                <w:sz w:val="18"/>
                <w:szCs w:val="20"/>
              </w:rPr>
              <w:t>Transition Orde</w:t>
            </w:r>
            <w:r w:rsidR="00F555B6" w:rsidRPr="00C510B5">
              <w:rPr>
                <w:color w:val="000000"/>
                <w:sz w:val="18"/>
                <w:szCs w:val="20"/>
              </w:rPr>
              <w:t>ring Contracting Officer (TOCO)</w:t>
            </w:r>
          </w:p>
        </w:tc>
        <w:tc>
          <w:tcPr>
            <w:tcW w:w="540" w:type="dxa"/>
            <w:vMerge/>
          </w:tcPr>
          <w:p w14:paraId="7210DF7A" w14:textId="77777777" w:rsidR="005D7412" w:rsidRPr="00C510B5" w:rsidRDefault="005D7412" w:rsidP="004D3659">
            <w:pPr>
              <w:widowControl/>
              <w:tabs>
                <w:tab w:val="left" w:pos="3150"/>
              </w:tabs>
              <w:autoSpaceDE/>
              <w:autoSpaceDN/>
              <w:adjustRightInd/>
              <w:spacing w:after="120"/>
              <w:rPr>
                <w:rFonts w:eastAsia="Calibri"/>
                <w:sz w:val="18"/>
                <w:szCs w:val="20"/>
              </w:rPr>
            </w:pPr>
          </w:p>
        </w:tc>
        <w:tc>
          <w:tcPr>
            <w:tcW w:w="1350" w:type="dxa"/>
            <w:vMerge/>
            <w:vAlign w:val="center"/>
          </w:tcPr>
          <w:p w14:paraId="0C5A362C" w14:textId="77777777" w:rsidR="005D7412" w:rsidRPr="004E72E6" w:rsidRDefault="005D7412" w:rsidP="00FC514D">
            <w:pPr>
              <w:widowControl/>
              <w:tabs>
                <w:tab w:val="left" w:pos="3150"/>
              </w:tabs>
              <w:autoSpaceDE/>
              <w:autoSpaceDN/>
              <w:adjustRightInd/>
              <w:spacing w:after="120"/>
              <w:jc w:val="center"/>
              <w:rPr>
                <w:rFonts w:eastAsia="Calibri"/>
                <w:sz w:val="18"/>
                <w:szCs w:val="18"/>
              </w:rPr>
            </w:pPr>
          </w:p>
        </w:tc>
      </w:tr>
      <w:tr w:rsidR="004F55E8" w:rsidRPr="007A4B19" w14:paraId="53EA829B" w14:textId="77777777" w:rsidTr="0014363D">
        <w:trPr>
          <w:cantSplit/>
          <w:jc w:val="center"/>
        </w:trPr>
        <w:tc>
          <w:tcPr>
            <w:tcW w:w="2875" w:type="dxa"/>
            <w:vMerge/>
          </w:tcPr>
          <w:p w14:paraId="6517A3FC" w14:textId="77777777" w:rsidR="005D7412" w:rsidRPr="004E72E6" w:rsidRDefault="005D7412" w:rsidP="004D3659">
            <w:pPr>
              <w:widowControl/>
              <w:tabs>
                <w:tab w:val="left" w:pos="3150"/>
              </w:tabs>
              <w:autoSpaceDE/>
              <w:autoSpaceDN/>
              <w:adjustRightInd/>
              <w:spacing w:after="120"/>
              <w:rPr>
                <w:rFonts w:eastAsia="Calibri"/>
                <w:b/>
                <w:sz w:val="18"/>
                <w:szCs w:val="18"/>
              </w:rPr>
            </w:pPr>
          </w:p>
        </w:tc>
        <w:tc>
          <w:tcPr>
            <w:tcW w:w="5760" w:type="dxa"/>
            <w:shd w:val="clear" w:color="auto" w:fill="DBE5F1" w:themeFill="accent1" w:themeFillTint="33"/>
            <w:vAlign w:val="center"/>
          </w:tcPr>
          <w:p w14:paraId="56FAEF5C" w14:textId="25AA2B3D" w:rsidR="005D7412" w:rsidRPr="00C510B5" w:rsidRDefault="00F555B6" w:rsidP="004D3659">
            <w:pPr>
              <w:widowControl/>
              <w:autoSpaceDE/>
              <w:autoSpaceDN/>
              <w:adjustRightInd/>
              <w:jc w:val="left"/>
              <w:rPr>
                <w:color w:val="000000"/>
                <w:sz w:val="18"/>
                <w:szCs w:val="20"/>
              </w:rPr>
            </w:pPr>
            <w:r w:rsidRPr="00C510B5">
              <w:rPr>
                <w:color w:val="000000"/>
                <w:sz w:val="18"/>
                <w:szCs w:val="20"/>
              </w:rPr>
              <w:t>Lead Transition Manager</w:t>
            </w:r>
            <w:r w:rsidR="00913457">
              <w:rPr>
                <w:color w:val="000000"/>
                <w:sz w:val="18"/>
                <w:szCs w:val="20"/>
              </w:rPr>
              <w:t xml:space="preserve"> (LTM)</w:t>
            </w:r>
          </w:p>
        </w:tc>
        <w:tc>
          <w:tcPr>
            <w:tcW w:w="540" w:type="dxa"/>
            <w:vMerge/>
          </w:tcPr>
          <w:p w14:paraId="73BD7D14" w14:textId="77777777" w:rsidR="005D7412" w:rsidRPr="00C510B5" w:rsidRDefault="005D7412" w:rsidP="004D3659">
            <w:pPr>
              <w:widowControl/>
              <w:tabs>
                <w:tab w:val="left" w:pos="3150"/>
              </w:tabs>
              <w:autoSpaceDE/>
              <w:autoSpaceDN/>
              <w:adjustRightInd/>
              <w:spacing w:after="120"/>
              <w:rPr>
                <w:rFonts w:eastAsia="Calibri"/>
                <w:sz w:val="18"/>
                <w:szCs w:val="20"/>
              </w:rPr>
            </w:pPr>
          </w:p>
        </w:tc>
        <w:tc>
          <w:tcPr>
            <w:tcW w:w="1350" w:type="dxa"/>
            <w:vMerge/>
            <w:vAlign w:val="center"/>
          </w:tcPr>
          <w:p w14:paraId="47744E3E" w14:textId="77777777" w:rsidR="005D7412" w:rsidRPr="004E72E6" w:rsidRDefault="005D7412" w:rsidP="00FC514D">
            <w:pPr>
              <w:widowControl/>
              <w:tabs>
                <w:tab w:val="left" w:pos="3150"/>
              </w:tabs>
              <w:autoSpaceDE/>
              <w:autoSpaceDN/>
              <w:adjustRightInd/>
              <w:spacing w:after="120"/>
              <w:jc w:val="center"/>
              <w:rPr>
                <w:rFonts w:eastAsia="Calibri"/>
                <w:sz w:val="18"/>
                <w:szCs w:val="18"/>
              </w:rPr>
            </w:pPr>
          </w:p>
        </w:tc>
      </w:tr>
      <w:tr w:rsidR="004F55E8" w:rsidRPr="007A4B19" w14:paraId="237248D0" w14:textId="77777777" w:rsidTr="0014363D">
        <w:trPr>
          <w:cantSplit/>
          <w:jc w:val="center"/>
        </w:trPr>
        <w:tc>
          <w:tcPr>
            <w:tcW w:w="2875" w:type="dxa"/>
            <w:vAlign w:val="center"/>
          </w:tcPr>
          <w:p w14:paraId="66A1453B" w14:textId="6AD4A3B2" w:rsidR="005D7412" w:rsidRPr="00E436C5" w:rsidRDefault="002F4F34" w:rsidP="004D3659">
            <w:pPr>
              <w:widowControl/>
              <w:tabs>
                <w:tab w:val="left" w:pos="3150"/>
              </w:tabs>
              <w:autoSpaceDE/>
              <w:autoSpaceDN/>
              <w:adjustRightInd/>
              <w:spacing w:after="120"/>
              <w:jc w:val="left"/>
              <w:rPr>
                <w:rFonts w:eastAsia="Calibri"/>
                <w:sz w:val="18"/>
              </w:rPr>
            </w:pPr>
            <w:r w:rsidRPr="00E436C5">
              <w:rPr>
                <w:rFonts w:eastAsia="Calibri"/>
                <w:sz w:val="18"/>
              </w:rPr>
              <w:t xml:space="preserve">Identify and contact GSA </w:t>
            </w:r>
            <w:r w:rsidR="00A47FCA">
              <w:rPr>
                <w:rFonts w:eastAsia="Calibri"/>
                <w:sz w:val="18"/>
              </w:rPr>
              <w:t>Solutions Broker (SB)</w:t>
            </w:r>
            <w:r w:rsidR="00A47FCA" w:rsidRPr="00E436C5" w:rsidDel="00A47FCA">
              <w:rPr>
                <w:rFonts w:eastAsia="Calibri"/>
                <w:sz w:val="18"/>
              </w:rPr>
              <w:t xml:space="preserve"> </w:t>
            </w:r>
          </w:p>
        </w:tc>
        <w:tc>
          <w:tcPr>
            <w:tcW w:w="5760" w:type="dxa"/>
            <w:vAlign w:val="center"/>
          </w:tcPr>
          <w:p w14:paraId="53E9C8DE" w14:textId="134194DF" w:rsidR="005D7412" w:rsidRPr="003408FE" w:rsidRDefault="00721599" w:rsidP="00FE5801">
            <w:pPr>
              <w:widowControl/>
              <w:autoSpaceDE/>
              <w:autoSpaceDN/>
              <w:adjustRightInd/>
              <w:jc w:val="left"/>
              <w:rPr>
                <w:color w:val="0563C1"/>
                <w:sz w:val="18"/>
                <w:szCs w:val="18"/>
                <w:u w:val="single"/>
              </w:rPr>
            </w:pPr>
            <w:hyperlink r:id="rId35" w:history="1">
              <w:r w:rsidR="002F4F34" w:rsidRPr="003408FE">
                <w:rPr>
                  <w:rStyle w:val="Hyperlink"/>
                  <w:sz w:val="18"/>
                  <w:szCs w:val="18"/>
                  <w:u w:val="single"/>
                </w:rPr>
                <w:t>gsa.gov/nspsupport</w:t>
              </w:r>
            </w:hyperlink>
          </w:p>
        </w:tc>
        <w:sdt>
          <w:sdtPr>
            <w:rPr>
              <w:rFonts w:ascii="Segoe UI Symbol" w:eastAsia="MS Gothic" w:hAnsi="Segoe UI Symbol" w:cs="Segoe UI Symbol"/>
              <w:sz w:val="20"/>
              <w:szCs w:val="20"/>
            </w:rPr>
            <w:id w:val="1204744387"/>
            <w14:checkbox>
              <w14:checked w14:val="0"/>
              <w14:checkedState w14:val="00FE" w14:font="Wingdings"/>
              <w14:uncheckedState w14:val="2610" w14:font="MS Gothic"/>
            </w14:checkbox>
          </w:sdtPr>
          <w:sdtEndPr/>
          <w:sdtContent>
            <w:tc>
              <w:tcPr>
                <w:tcW w:w="540" w:type="dxa"/>
                <w:vAlign w:val="center"/>
              </w:tcPr>
              <w:p w14:paraId="4ACBBDB8" w14:textId="6E2C43C7" w:rsidR="005D7412" w:rsidRPr="00A23B3F" w:rsidRDefault="000B708C" w:rsidP="004D3659">
                <w:pPr>
                  <w:widowControl/>
                  <w:tabs>
                    <w:tab w:val="left" w:pos="3150"/>
                  </w:tabs>
                  <w:autoSpaceDE/>
                  <w:autoSpaceDN/>
                  <w:adjustRightInd/>
                  <w:spacing w:after="120"/>
                  <w:jc w:val="center"/>
                  <w:rPr>
                    <w:rFonts w:eastAsia="Calibri"/>
                    <w:sz w:val="20"/>
                    <w:szCs w:val="20"/>
                  </w:rPr>
                </w:pPr>
                <w:r w:rsidRPr="00A23B3F">
                  <w:rPr>
                    <w:rFonts w:ascii="Segoe UI Symbol" w:eastAsia="MS Gothic" w:hAnsi="Segoe UI Symbol" w:cs="Segoe UI Symbol"/>
                    <w:sz w:val="20"/>
                    <w:szCs w:val="20"/>
                  </w:rPr>
                  <w:t>☐</w:t>
                </w:r>
              </w:p>
            </w:tc>
          </w:sdtContent>
        </w:sdt>
        <w:tc>
          <w:tcPr>
            <w:tcW w:w="1350" w:type="dxa"/>
            <w:vAlign w:val="center"/>
          </w:tcPr>
          <w:p w14:paraId="053A2A38" w14:textId="77777777" w:rsidR="002F4F34" w:rsidRPr="00E436C5" w:rsidRDefault="002F4F34" w:rsidP="00FC514D">
            <w:pPr>
              <w:widowControl/>
              <w:tabs>
                <w:tab w:val="left" w:pos="3150"/>
              </w:tabs>
              <w:autoSpaceDE/>
              <w:autoSpaceDN/>
              <w:adjustRightInd/>
              <w:spacing w:after="120"/>
              <w:jc w:val="center"/>
              <w:rPr>
                <w:rFonts w:eastAsia="Calibri"/>
                <w:sz w:val="18"/>
              </w:rPr>
            </w:pPr>
            <w:r w:rsidRPr="00E436C5">
              <w:rPr>
                <w:rFonts w:eastAsia="Calibri"/>
                <w:sz w:val="18"/>
              </w:rPr>
              <w:t>May 2016</w:t>
            </w:r>
          </w:p>
        </w:tc>
      </w:tr>
      <w:tr w:rsidR="004F55E8" w:rsidRPr="007A4B19" w14:paraId="30CDB44F" w14:textId="77777777" w:rsidTr="0014363D">
        <w:trPr>
          <w:cantSplit/>
          <w:trHeight w:val="287"/>
          <w:jc w:val="center"/>
        </w:trPr>
        <w:tc>
          <w:tcPr>
            <w:tcW w:w="2875" w:type="dxa"/>
            <w:shd w:val="clear" w:color="auto" w:fill="DBE5F1" w:themeFill="accent1" w:themeFillTint="33"/>
            <w:vAlign w:val="center"/>
          </w:tcPr>
          <w:p w14:paraId="72601C51" w14:textId="04FB9178" w:rsidR="005D7412" w:rsidRPr="00E436C5" w:rsidRDefault="002F4F34" w:rsidP="00844874">
            <w:pPr>
              <w:widowControl/>
              <w:autoSpaceDE/>
              <w:autoSpaceDN/>
              <w:adjustRightInd/>
              <w:jc w:val="left"/>
              <w:rPr>
                <w:color w:val="000000"/>
                <w:sz w:val="18"/>
              </w:rPr>
            </w:pPr>
            <w:r w:rsidRPr="00E436C5">
              <w:rPr>
                <w:color w:val="000000"/>
                <w:sz w:val="18"/>
              </w:rPr>
              <w:t xml:space="preserve">Receive </w:t>
            </w:r>
            <w:r w:rsidR="00B25A7C" w:rsidRPr="00E436C5">
              <w:rPr>
                <w:color w:val="000000"/>
                <w:sz w:val="18"/>
              </w:rPr>
              <w:t>IAA</w:t>
            </w:r>
            <w:r w:rsidRPr="00E436C5">
              <w:rPr>
                <w:color w:val="000000"/>
                <w:sz w:val="18"/>
              </w:rPr>
              <w:t xml:space="preserve"> TAP </w:t>
            </w:r>
            <w:r w:rsidR="00844874" w:rsidRPr="004E72E6">
              <w:rPr>
                <w:color w:val="000000"/>
                <w:sz w:val="18"/>
                <w:szCs w:val="18"/>
              </w:rPr>
              <w:t>transition</w:t>
            </w:r>
            <w:r w:rsidR="00844874" w:rsidRPr="00E436C5">
              <w:rPr>
                <w:color w:val="000000"/>
                <w:sz w:val="18"/>
              </w:rPr>
              <w:t xml:space="preserve"> </w:t>
            </w:r>
            <w:r w:rsidRPr="00E436C5">
              <w:rPr>
                <w:color w:val="000000"/>
                <w:sz w:val="18"/>
              </w:rPr>
              <w:t>briefing</w:t>
            </w:r>
          </w:p>
        </w:tc>
        <w:tc>
          <w:tcPr>
            <w:tcW w:w="5760" w:type="dxa"/>
            <w:shd w:val="clear" w:color="auto" w:fill="DBE5F1" w:themeFill="accent1" w:themeFillTint="33"/>
            <w:vAlign w:val="center"/>
          </w:tcPr>
          <w:p w14:paraId="6C2B3793" w14:textId="22E94EB3" w:rsidR="005D7412" w:rsidRPr="00E436C5" w:rsidRDefault="00F555B6" w:rsidP="004D3659">
            <w:pPr>
              <w:widowControl/>
              <w:autoSpaceDE/>
              <w:autoSpaceDN/>
              <w:adjustRightInd/>
              <w:jc w:val="left"/>
              <w:rPr>
                <w:color w:val="000000"/>
                <w:sz w:val="18"/>
              </w:rPr>
            </w:pPr>
            <w:r w:rsidRPr="00E436C5">
              <w:rPr>
                <w:color w:val="000000"/>
                <w:sz w:val="18"/>
              </w:rPr>
              <w:t xml:space="preserve">Coordinated by GSA </w:t>
            </w:r>
            <w:r w:rsidR="00A47FCA">
              <w:rPr>
                <w:color w:val="000000"/>
                <w:sz w:val="18"/>
              </w:rPr>
              <w:t>SB</w:t>
            </w:r>
          </w:p>
        </w:tc>
        <w:sdt>
          <w:sdtPr>
            <w:rPr>
              <w:rFonts w:ascii="Segoe UI Symbol" w:eastAsia="MS Gothic" w:hAnsi="Segoe UI Symbol" w:cs="Segoe UI Symbol"/>
              <w:sz w:val="20"/>
              <w:szCs w:val="20"/>
            </w:rPr>
            <w:id w:val="-2001811525"/>
            <w14:checkbox>
              <w14:checked w14:val="0"/>
              <w14:checkedState w14:val="00FE" w14:font="Wingdings"/>
              <w14:uncheckedState w14:val="2610" w14:font="MS Gothic"/>
            </w14:checkbox>
          </w:sdtPr>
          <w:sdtEndPr/>
          <w:sdtContent>
            <w:tc>
              <w:tcPr>
                <w:tcW w:w="540" w:type="dxa"/>
                <w:shd w:val="clear" w:color="auto" w:fill="DBE5F1" w:themeFill="accent1" w:themeFillTint="33"/>
                <w:vAlign w:val="center"/>
              </w:tcPr>
              <w:p w14:paraId="50FFEED3" w14:textId="3B0B25AB" w:rsidR="005D7412" w:rsidRPr="00A23B3F" w:rsidRDefault="000B708C" w:rsidP="004D3659">
                <w:pPr>
                  <w:widowControl/>
                  <w:tabs>
                    <w:tab w:val="left" w:pos="3150"/>
                  </w:tabs>
                  <w:autoSpaceDE/>
                  <w:autoSpaceDN/>
                  <w:adjustRightInd/>
                  <w:spacing w:after="120"/>
                  <w:jc w:val="center"/>
                  <w:rPr>
                    <w:rFonts w:eastAsia="Calibri"/>
                    <w:sz w:val="20"/>
                    <w:szCs w:val="20"/>
                  </w:rPr>
                </w:pPr>
                <w:r w:rsidRPr="00A23B3F">
                  <w:rPr>
                    <w:rFonts w:ascii="Segoe UI Symbol" w:eastAsia="MS Gothic" w:hAnsi="Segoe UI Symbol" w:cs="Segoe UI Symbol"/>
                    <w:sz w:val="20"/>
                    <w:szCs w:val="20"/>
                  </w:rPr>
                  <w:t>☐</w:t>
                </w:r>
              </w:p>
            </w:tc>
          </w:sdtContent>
        </w:sdt>
        <w:tc>
          <w:tcPr>
            <w:tcW w:w="1350" w:type="dxa"/>
            <w:shd w:val="clear" w:color="auto" w:fill="DBE5F1" w:themeFill="accent1" w:themeFillTint="33"/>
            <w:vAlign w:val="center"/>
          </w:tcPr>
          <w:p w14:paraId="0579E834" w14:textId="77777777" w:rsidR="005D7412" w:rsidRPr="00E436C5" w:rsidRDefault="002F4F34" w:rsidP="00FC514D">
            <w:pPr>
              <w:widowControl/>
              <w:tabs>
                <w:tab w:val="left" w:pos="3150"/>
              </w:tabs>
              <w:autoSpaceDE/>
              <w:autoSpaceDN/>
              <w:adjustRightInd/>
              <w:spacing w:after="120"/>
              <w:jc w:val="center"/>
              <w:rPr>
                <w:rFonts w:eastAsia="Calibri"/>
                <w:sz w:val="18"/>
              </w:rPr>
            </w:pPr>
            <w:r w:rsidRPr="00E436C5">
              <w:rPr>
                <w:rFonts w:eastAsia="Calibri"/>
                <w:sz w:val="18"/>
              </w:rPr>
              <w:t>May 2016</w:t>
            </w:r>
          </w:p>
        </w:tc>
      </w:tr>
      <w:tr w:rsidR="004F55E8" w:rsidRPr="007A4B19" w14:paraId="3328A594" w14:textId="77777777" w:rsidTr="0014363D">
        <w:trPr>
          <w:cantSplit/>
          <w:jc w:val="center"/>
        </w:trPr>
        <w:tc>
          <w:tcPr>
            <w:tcW w:w="2875" w:type="dxa"/>
            <w:vAlign w:val="center"/>
          </w:tcPr>
          <w:p w14:paraId="5E8B14FC" w14:textId="42085FE4" w:rsidR="005D7412" w:rsidRPr="00E436C5" w:rsidRDefault="008C2271" w:rsidP="00844874">
            <w:pPr>
              <w:widowControl/>
              <w:autoSpaceDE/>
              <w:autoSpaceDN/>
              <w:adjustRightInd/>
              <w:jc w:val="left"/>
              <w:rPr>
                <w:color w:val="000000"/>
                <w:sz w:val="18"/>
              </w:rPr>
            </w:pPr>
            <w:r w:rsidRPr="00E436C5">
              <w:rPr>
                <w:color w:val="000000"/>
                <w:sz w:val="18"/>
              </w:rPr>
              <w:t xml:space="preserve">Complete </w:t>
            </w:r>
            <w:r w:rsidR="00844874" w:rsidRPr="004E72E6">
              <w:rPr>
                <w:color w:val="000000"/>
                <w:sz w:val="18"/>
                <w:szCs w:val="18"/>
              </w:rPr>
              <w:t>draft</w:t>
            </w:r>
            <w:r w:rsidR="00844874" w:rsidRPr="00E436C5">
              <w:rPr>
                <w:color w:val="000000"/>
                <w:sz w:val="18"/>
              </w:rPr>
              <w:t xml:space="preserve"> </w:t>
            </w:r>
            <w:r w:rsidR="00B25A7C" w:rsidRPr="00E436C5">
              <w:rPr>
                <w:color w:val="000000"/>
                <w:sz w:val="18"/>
              </w:rPr>
              <w:t>IAA</w:t>
            </w:r>
          </w:p>
        </w:tc>
        <w:tc>
          <w:tcPr>
            <w:tcW w:w="5760" w:type="dxa"/>
            <w:vAlign w:val="center"/>
          </w:tcPr>
          <w:p w14:paraId="18B10308" w14:textId="77777777" w:rsidR="005D7412" w:rsidRPr="00E436C5" w:rsidRDefault="008C2271" w:rsidP="004D3659">
            <w:pPr>
              <w:widowControl/>
              <w:autoSpaceDE/>
              <w:autoSpaceDN/>
              <w:adjustRightInd/>
              <w:jc w:val="left"/>
              <w:rPr>
                <w:color w:val="000000"/>
                <w:sz w:val="18"/>
              </w:rPr>
            </w:pPr>
            <w:r w:rsidRPr="00E436C5">
              <w:rPr>
                <w:color w:val="000000"/>
                <w:sz w:val="18"/>
              </w:rPr>
              <w:t xml:space="preserve">Indicates intent to use </w:t>
            </w:r>
            <w:r w:rsidR="00F555B6" w:rsidRPr="00E436C5">
              <w:rPr>
                <w:color w:val="000000"/>
                <w:sz w:val="18"/>
              </w:rPr>
              <w:t>GSA provided consultant support</w:t>
            </w:r>
          </w:p>
        </w:tc>
        <w:sdt>
          <w:sdtPr>
            <w:rPr>
              <w:rFonts w:ascii="Segoe UI Symbol" w:eastAsia="MS Gothic" w:hAnsi="Segoe UI Symbol" w:cs="Segoe UI Symbol"/>
              <w:sz w:val="20"/>
              <w:szCs w:val="20"/>
            </w:rPr>
            <w:id w:val="-1692757369"/>
            <w14:checkbox>
              <w14:checked w14:val="0"/>
              <w14:checkedState w14:val="00FE" w14:font="Wingdings"/>
              <w14:uncheckedState w14:val="2610" w14:font="MS Gothic"/>
            </w14:checkbox>
          </w:sdtPr>
          <w:sdtEndPr/>
          <w:sdtContent>
            <w:tc>
              <w:tcPr>
                <w:tcW w:w="540" w:type="dxa"/>
                <w:vAlign w:val="center"/>
              </w:tcPr>
              <w:p w14:paraId="59CE0A91" w14:textId="34348C3A" w:rsidR="008C2271" w:rsidRPr="00A23B3F" w:rsidRDefault="000B708C" w:rsidP="004D3659">
                <w:pPr>
                  <w:widowControl/>
                  <w:tabs>
                    <w:tab w:val="left" w:pos="3150"/>
                  </w:tabs>
                  <w:autoSpaceDE/>
                  <w:autoSpaceDN/>
                  <w:adjustRightInd/>
                  <w:spacing w:after="120"/>
                  <w:jc w:val="center"/>
                  <w:rPr>
                    <w:rFonts w:eastAsia="Calibri"/>
                    <w:sz w:val="20"/>
                    <w:szCs w:val="20"/>
                  </w:rPr>
                </w:pPr>
                <w:r w:rsidRPr="00A23B3F">
                  <w:rPr>
                    <w:rFonts w:ascii="Segoe UI Symbol" w:eastAsia="MS Gothic" w:hAnsi="Segoe UI Symbol" w:cs="Segoe UI Symbol"/>
                    <w:sz w:val="20"/>
                    <w:szCs w:val="20"/>
                  </w:rPr>
                  <w:t>☐</w:t>
                </w:r>
              </w:p>
            </w:tc>
          </w:sdtContent>
        </w:sdt>
        <w:tc>
          <w:tcPr>
            <w:tcW w:w="1350" w:type="dxa"/>
            <w:vAlign w:val="center"/>
          </w:tcPr>
          <w:p w14:paraId="50785383" w14:textId="77777777" w:rsidR="005D7412" w:rsidRPr="00E436C5" w:rsidRDefault="008C2271" w:rsidP="00FC514D">
            <w:pPr>
              <w:widowControl/>
              <w:tabs>
                <w:tab w:val="left" w:pos="3150"/>
              </w:tabs>
              <w:autoSpaceDE/>
              <w:autoSpaceDN/>
              <w:adjustRightInd/>
              <w:spacing w:after="120"/>
              <w:jc w:val="center"/>
              <w:rPr>
                <w:rFonts w:eastAsia="Calibri"/>
                <w:sz w:val="18"/>
              </w:rPr>
            </w:pPr>
            <w:r w:rsidRPr="00E436C5">
              <w:rPr>
                <w:rFonts w:eastAsia="Calibri"/>
                <w:sz w:val="18"/>
              </w:rPr>
              <w:t>May 2016</w:t>
            </w:r>
          </w:p>
        </w:tc>
      </w:tr>
      <w:tr w:rsidR="004F55E8" w:rsidRPr="007A4B19" w14:paraId="47DE9F42" w14:textId="77777777" w:rsidTr="002F319A">
        <w:trPr>
          <w:cantSplit/>
          <w:trHeight w:val="548"/>
          <w:jc w:val="center"/>
        </w:trPr>
        <w:tc>
          <w:tcPr>
            <w:tcW w:w="2875" w:type="dxa"/>
            <w:vMerge w:val="restart"/>
            <w:shd w:val="clear" w:color="auto" w:fill="DBE5F1" w:themeFill="accent1" w:themeFillTint="33"/>
            <w:vAlign w:val="center"/>
          </w:tcPr>
          <w:p w14:paraId="3964E234" w14:textId="5653899D" w:rsidR="00A86EC0" w:rsidRPr="00E436C5" w:rsidRDefault="00A86EC0" w:rsidP="00844874">
            <w:pPr>
              <w:widowControl/>
              <w:tabs>
                <w:tab w:val="left" w:pos="3150"/>
              </w:tabs>
              <w:autoSpaceDE/>
              <w:autoSpaceDN/>
              <w:adjustRightInd/>
              <w:spacing w:after="120"/>
              <w:jc w:val="left"/>
              <w:rPr>
                <w:rFonts w:eastAsia="Calibri"/>
                <w:sz w:val="18"/>
              </w:rPr>
            </w:pPr>
            <w:r w:rsidRPr="00E436C5">
              <w:rPr>
                <w:rFonts w:eastAsia="Calibri"/>
                <w:sz w:val="18"/>
              </w:rPr>
              <w:t xml:space="preserve">Request </w:t>
            </w:r>
            <w:r w:rsidR="00844874" w:rsidRPr="004E72E6">
              <w:rPr>
                <w:rFonts w:eastAsia="Calibri"/>
                <w:sz w:val="18"/>
                <w:szCs w:val="18"/>
              </w:rPr>
              <w:t>access</w:t>
            </w:r>
            <w:r w:rsidR="00844874" w:rsidRPr="00E436C5">
              <w:rPr>
                <w:rFonts w:eastAsia="Calibri"/>
                <w:sz w:val="18"/>
              </w:rPr>
              <w:t xml:space="preserve"> </w:t>
            </w:r>
            <w:r w:rsidRPr="00E436C5">
              <w:rPr>
                <w:rFonts w:eastAsia="Calibri"/>
                <w:sz w:val="18"/>
              </w:rPr>
              <w:t>to GSA Tools</w:t>
            </w:r>
          </w:p>
        </w:tc>
        <w:tc>
          <w:tcPr>
            <w:tcW w:w="5760" w:type="dxa"/>
            <w:shd w:val="clear" w:color="auto" w:fill="DBE5F1" w:themeFill="accent1" w:themeFillTint="33"/>
            <w:vAlign w:val="center"/>
          </w:tcPr>
          <w:p w14:paraId="6E46AAA5" w14:textId="77777777" w:rsidR="00A86EC0" w:rsidRPr="00E436C5" w:rsidRDefault="00A86EC0" w:rsidP="000567A5">
            <w:pPr>
              <w:pStyle w:val="ListParagraph"/>
              <w:widowControl/>
              <w:numPr>
                <w:ilvl w:val="0"/>
                <w:numId w:val="43"/>
              </w:numPr>
              <w:autoSpaceDE/>
              <w:autoSpaceDN/>
              <w:adjustRightInd/>
              <w:jc w:val="left"/>
              <w:rPr>
                <w:color w:val="000000"/>
                <w:sz w:val="18"/>
              </w:rPr>
            </w:pPr>
            <w:r w:rsidRPr="00E436C5">
              <w:rPr>
                <w:color w:val="000000"/>
                <w:sz w:val="18"/>
              </w:rPr>
              <w:t xml:space="preserve">Transition Inventory Access: see </w:t>
            </w:r>
            <w:r w:rsidRPr="00C95436">
              <w:rPr>
                <w:color w:val="000000"/>
                <w:sz w:val="18"/>
                <w:u w:val="single"/>
              </w:rPr>
              <w:t>Transition Inventory User Guide</w:t>
            </w:r>
            <w:r w:rsidRPr="00E436C5">
              <w:rPr>
                <w:color w:val="000000"/>
                <w:sz w:val="18"/>
              </w:rPr>
              <w:t xml:space="preserve"> (gsa.gov/eistransition)</w:t>
            </w:r>
          </w:p>
        </w:tc>
        <w:tc>
          <w:tcPr>
            <w:tcW w:w="540" w:type="dxa"/>
            <w:vMerge w:val="restart"/>
            <w:shd w:val="clear" w:color="auto" w:fill="DBE5F1" w:themeFill="accent1" w:themeFillTint="33"/>
            <w:vAlign w:val="center"/>
          </w:tcPr>
          <w:p w14:paraId="280D8044" w14:textId="77777777" w:rsidR="00A86EC0" w:rsidRPr="00A23B3F" w:rsidRDefault="00A86EC0" w:rsidP="004D3659">
            <w:pPr>
              <w:rPr>
                <w:rFonts w:eastAsia="Calibri"/>
                <w:sz w:val="20"/>
                <w:szCs w:val="20"/>
              </w:rPr>
            </w:pPr>
          </w:p>
          <w:sdt>
            <w:sdtPr>
              <w:rPr>
                <w:rFonts w:ascii="Segoe UI Symbol" w:eastAsia="MS Gothic" w:hAnsi="Segoe UI Symbol" w:cs="Segoe UI Symbol"/>
                <w:sz w:val="20"/>
                <w:szCs w:val="20"/>
              </w:rPr>
              <w:id w:val="805275955"/>
              <w14:checkbox>
                <w14:checked w14:val="0"/>
                <w14:checkedState w14:val="00FE" w14:font="Wingdings"/>
                <w14:uncheckedState w14:val="2610" w14:font="MS Gothic"/>
              </w14:checkbox>
            </w:sdtPr>
            <w:sdtEndPr/>
            <w:sdtContent>
              <w:p w14:paraId="28FE8227" w14:textId="2D63F316" w:rsidR="00A86EC0" w:rsidRPr="00A23B3F" w:rsidRDefault="000B708C" w:rsidP="004D3659">
                <w:pPr>
                  <w:jc w:val="center"/>
                  <w:rPr>
                    <w:rFonts w:eastAsia="Calibri"/>
                    <w:sz w:val="20"/>
                    <w:szCs w:val="20"/>
                  </w:rPr>
                </w:pPr>
                <w:r w:rsidRPr="00A23B3F">
                  <w:rPr>
                    <w:rFonts w:ascii="Segoe UI Symbol" w:eastAsia="MS Gothic" w:hAnsi="Segoe UI Symbol" w:cs="Segoe UI Symbol"/>
                    <w:sz w:val="20"/>
                    <w:szCs w:val="20"/>
                  </w:rPr>
                  <w:t>☐</w:t>
                </w:r>
              </w:p>
            </w:sdtContent>
          </w:sdt>
        </w:tc>
        <w:tc>
          <w:tcPr>
            <w:tcW w:w="1350" w:type="dxa"/>
            <w:vMerge w:val="restart"/>
            <w:shd w:val="clear" w:color="auto" w:fill="DBE5F1" w:themeFill="accent1" w:themeFillTint="33"/>
            <w:vAlign w:val="center"/>
          </w:tcPr>
          <w:p w14:paraId="46D3D6A7" w14:textId="77777777" w:rsidR="00A86EC0" w:rsidRPr="00E436C5" w:rsidRDefault="00A86EC0" w:rsidP="004D3659">
            <w:pPr>
              <w:jc w:val="center"/>
              <w:rPr>
                <w:rFonts w:eastAsia="Calibri"/>
                <w:sz w:val="18"/>
              </w:rPr>
            </w:pPr>
            <w:r w:rsidRPr="00E436C5">
              <w:rPr>
                <w:rFonts w:eastAsia="Calibri"/>
                <w:sz w:val="18"/>
              </w:rPr>
              <w:t>Oct 2016</w:t>
            </w:r>
          </w:p>
        </w:tc>
      </w:tr>
      <w:tr w:rsidR="004F55E8" w:rsidRPr="007A4B19" w14:paraId="7536C86B" w14:textId="77777777" w:rsidTr="002F319A">
        <w:trPr>
          <w:cantSplit/>
          <w:trHeight w:val="620"/>
          <w:jc w:val="center"/>
        </w:trPr>
        <w:tc>
          <w:tcPr>
            <w:tcW w:w="2875" w:type="dxa"/>
            <w:vMerge/>
          </w:tcPr>
          <w:p w14:paraId="4290719B" w14:textId="77777777" w:rsidR="00A86EC0" w:rsidRPr="004E72E6" w:rsidRDefault="00A86EC0" w:rsidP="004D3659">
            <w:pPr>
              <w:widowControl/>
              <w:tabs>
                <w:tab w:val="left" w:pos="3150"/>
              </w:tabs>
              <w:autoSpaceDE/>
              <w:autoSpaceDN/>
              <w:adjustRightInd/>
              <w:spacing w:after="120"/>
              <w:rPr>
                <w:rFonts w:eastAsia="Calibri"/>
                <w:b/>
                <w:sz w:val="18"/>
                <w:szCs w:val="18"/>
              </w:rPr>
            </w:pPr>
          </w:p>
        </w:tc>
        <w:tc>
          <w:tcPr>
            <w:tcW w:w="5760" w:type="dxa"/>
            <w:shd w:val="clear" w:color="auto" w:fill="DBE5F1" w:themeFill="accent1" w:themeFillTint="33"/>
            <w:vAlign w:val="center"/>
          </w:tcPr>
          <w:p w14:paraId="3A631DDA" w14:textId="77777777" w:rsidR="00A86EC0" w:rsidRPr="00C510B5" w:rsidRDefault="00A86EC0" w:rsidP="000567A5">
            <w:pPr>
              <w:pStyle w:val="ListParagraph"/>
              <w:widowControl/>
              <w:numPr>
                <w:ilvl w:val="0"/>
                <w:numId w:val="43"/>
              </w:numPr>
              <w:autoSpaceDE/>
              <w:autoSpaceDN/>
              <w:adjustRightInd/>
              <w:jc w:val="left"/>
              <w:rPr>
                <w:color w:val="000000"/>
                <w:sz w:val="18"/>
                <w:szCs w:val="20"/>
              </w:rPr>
            </w:pPr>
            <w:r w:rsidRPr="00C510B5">
              <w:rPr>
                <w:color w:val="000000"/>
                <w:sz w:val="18"/>
                <w:szCs w:val="20"/>
              </w:rPr>
              <w:t>Conexus – EIS Ordering, Billing, and Inventory Functionality (conexus.gsa.gov)</w:t>
            </w:r>
          </w:p>
        </w:tc>
        <w:tc>
          <w:tcPr>
            <w:tcW w:w="540" w:type="dxa"/>
            <w:vMerge/>
          </w:tcPr>
          <w:p w14:paraId="077D062C" w14:textId="77777777" w:rsidR="00A86EC0" w:rsidRPr="00C510B5" w:rsidRDefault="00A86EC0" w:rsidP="004D3659">
            <w:pPr>
              <w:widowControl/>
              <w:tabs>
                <w:tab w:val="left" w:pos="3150"/>
              </w:tabs>
              <w:autoSpaceDE/>
              <w:autoSpaceDN/>
              <w:adjustRightInd/>
              <w:spacing w:after="120"/>
              <w:rPr>
                <w:rFonts w:eastAsia="Calibri"/>
                <w:b/>
                <w:sz w:val="18"/>
                <w:szCs w:val="20"/>
              </w:rPr>
            </w:pPr>
          </w:p>
        </w:tc>
        <w:tc>
          <w:tcPr>
            <w:tcW w:w="1350" w:type="dxa"/>
            <w:vMerge/>
            <w:vAlign w:val="center"/>
          </w:tcPr>
          <w:p w14:paraId="62626E85" w14:textId="77777777" w:rsidR="00A86EC0" w:rsidRPr="004E72E6" w:rsidRDefault="00A86EC0" w:rsidP="004D3659">
            <w:pPr>
              <w:widowControl/>
              <w:tabs>
                <w:tab w:val="left" w:pos="3150"/>
              </w:tabs>
              <w:autoSpaceDE/>
              <w:autoSpaceDN/>
              <w:adjustRightInd/>
              <w:spacing w:after="120"/>
              <w:rPr>
                <w:rFonts w:eastAsia="Calibri"/>
                <w:sz w:val="18"/>
                <w:szCs w:val="18"/>
              </w:rPr>
            </w:pPr>
          </w:p>
        </w:tc>
      </w:tr>
      <w:tr w:rsidR="004F55E8" w:rsidRPr="007A4B19" w14:paraId="3DEB3E2A" w14:textId="77777777" w:rsidTr="002F319A">
        <w:trPr>
          <w:cantSplit/>
          <w:trHeight w:val="557"/>
          <w:jc w:val="center"/>
        </w:trPr>
        <w:tc>
          <w:tcPr>
            <w:tcW w:w="2875" w:type="dxa"/>
            <w:vMerge/>
          </w:tcPr>
          <w:p w14:paraId="51B3A47C" w14:textId="77777777" w:rsidR="00A86EC0" w:rsidRPr="004E72E6" w:rsidRDefault="00A86EC0" w:rsidP="004D3659">
            <w:pPr>
              <w:widowControl/>
              <w:tabs>
                <w:tab w:val="left" w:pos="3150"/>
              </w:tabs>
              <w:autoSpaceDE/>
              <w:autoSpaceDN/>
              <w:adjustRightInd/>
              <w:spacing w:after="120"/>
              <w:rPr>
                <w:rFonts w:eastAsia="Calibri"/>
                <w:b/>
                <w:sz w:val="18"/>
                <w:szCs w:val="18"/>
              </w:rPr>
            </w:pPr>
          </w:p>
        </w:tc>
        <w:tc>
          <w:tcPr>
            <w:tcW w:w="5760" w:type="dxa"/>
            <w:shd w:val="clear" w:color="auto" w:fill="DBE5F1" w:themeFill="accent1" w:themeFillTint="33"/>
            <w:vAlign w:val="center"/>
          </w:tcPr>
          <w:p w14:paraId="73BA0D5F" w14:textId="02672A1E" w:rsidR="00A86EC0" w:rsidRPr="00C510B5" w:rsidRDefault="00A86EC0" w:rsidP="000567A5">
            <w:pPr>
              <w:pStyle w:val="ListParagraph"/>
              <w:widowControl/>
              <w:numPr>
                <w:ilvl w:val="0"/>
                <w:numId w:val="43"/>
              </w:numPr>
              <w:autoSpaceDE/>
              <w:autoSpaceDN/>
              <w:adjustRightInd/>
              <w:jc w:val="left"/>
              <w:rPr>
                <w:color w:val="000000"/>
                <w:sz w:val="18"/>
                <w:szCs w:val="20"/>
              </w:rPr>
            </w:pPr>
            <w:r w:rsidRPr="00C510B5">
              <w:rPr>
                <w:color w:val="000000"/>
                <w:sz w:val="18"/>
                <w:szCs w:val="20"/>
              </w:rPr>
              <w:t xml:space="preserve">Subscribe to Interact for real-time notifications of EIS </w:t>
            </w:r>
            <w:r w:rsidR="00924704" w:rsidRPr="00C510B5">
              <w:rPr>
                <w:color w:val="000000"/>
                <w:sz w:val="18"/>
                <w:szCs w:val="20"/>
              </w:rPr>
              <w:t xml:space="preserve">and transition </w:t>
            </w:r>
            <w:r w:rsidRPr="00C510B5">
              <w:rPr>
                <w:color w:val="000000"/>
                <w:sz w:val="18"/>
                <w:szCs w:val="20"/>
              </w:rPr>
              <w:t>activities (interact.gsa.gov/eis)</w:t>
            </w:r>
          </w:p>
        </w:tc>
        <w:tc>
          <w:tcPr>
            <w:tcW w:w="540" w:type="dxa"/>
            <w:vMerge/>
          </w:tcPr>
          <w:p w14:paraId="439FFE08" w14:textId="77777777" w:rsidR="00A86EC0" w:rsidRPr="00C510B5" w:rsidRDefault="00A86EC0" w:rsidP="004D3659">
            <w:pPr>
              <w:widowControl/>
              <w:tabs>
                <w:tab w:val="left" w:pos="3150"/>
              </w:tabs>
              <w:autoSpaceDE/>
              <w:autoSpaceDN/>
              <w:adjustRightInd/>
              <w:spacing w:after="120"/>
              <w:rPr>
                <w:rFonts w:eastAsia="Calibri"/>
                <w:b/>
                <w:sz w:val="18"/>
                <w:szCs w:val="20"/>
              </w:rPr>
            </w:pPr>
          </w:p>
        </w:tc>
        <w:tc>
          <w:tcPr>
            <w:tcW w:w="1350" w:type="dxa"/>
            <w:vMerge/>
            <w:vAlign w:val="center"/>
          </w:tcPr>
          <w:p w14:paraId="6BE150F2" w14:textId="77777777" w:rsidR="00A86EC0" w:rsidRPr="004E72E6" w:rsidRDefault="00A86EC0" w:rsidP="004D3659">
            <w:pPr>
              <w:widowControl/>
              <w:tabs>
                <w:tab w:val="left" w:pos="3150"/>
              </w:tabs>
              <w:autoSpaceDE/>
              <w:autoSpaceDN/>
              <w:adjustRightInd/>
              <w:spacing w:after="120"/>
              <w:rPr>
                <w:rFonts w:eastAsia="Calibri"/>
                <w:sz w:val="18"/>
                <w:szCs w:val="18"/>
              </w:rPr>
            </w:pPr>
          </w:p>
        </w:tc>
      </w:tr>
      <w:tr w:rsidR="004F55E8" w:rsidRPr="007A4B19" w14:paraId="39C937BC" w14:textId="77777777" w:rsidTr="0014363D">
        <w:trPr>
          <w:cantSplit/>
          <w:trHeight w:val="305"/>
          <w:jc w:val="center"/>
        </w:trPr>
        <w:tc>
          <w:tcPr>
            <w:tcW w:w="2875" w:type="dxa"/>
            <w:vMerge w:val="restart"/>
            <w:vAlign w:val="center"/>
          </w:tcPr>
          <w:p w14:paraId="04BC9A9E" w14:textId="77777777" w:rsidR="00A86EC0" w:rsidRPr="00E436C5" w:rsidRDefault="00A86EC0" w:rsidP="004D3659">
            <w:pPr>
              <w:widowControl/>
              <w:tabs>
                <w:tab w:val="left" w:pos="3150"/>
              </w:tabs>
              <w:autoSpaceDE/>
              <w:autoSpaceDN/>
              <w:adjustRightInd/>
              <w:spacing w:after="120"/>
              <w:jc w:val="left"/>
              <w:rPr>
                <w:rFonts w:eastAsia="Calibri"/>
                <w:sz w:val="18"/>
              </w:rPr>
            </w:pPr>
            <w:r w:rsidRPr="00E436C5">
              <w:rPr>
                <w:rFonts w:eastAsia="Calibri"/>
                <w:sz w:val="18"/>
              </w:rPr>
              <w:t>Review and confirm agency’s transition inventory</w:t>
            </w:r>
          </w:p>
        </w:tc>
        <w:tc>
          <w:tcPr>
            <w:tcW w:w="5760" w:type="dxa"/>
            <w:vAlign w:val="center"/>
          </w:tcPr>
          <w:p w14:paraId="52844C34" w14:textId="77777777" w:rsidR="00A86EC0" w:rsidRPr="00E436C5" w:rsidRDefault="00A86EC0" w:rsidP="000567A5">
            <w:pPr>
              <w:pStyle w:val="ListParagraph"/>
              <w:widowControl/>
              <w:numPr>
                <w:ilvl w:val="0"/>
                <w:numId w:val="45"/>
              </w:numPr>
              <w:autoSpaceDE/>
              <w:autoSpaceDN/>
              <w:adjustRightInd/>
              <w:jc w:val="left"/>
              <w:rPr>
                <w:color w:val="000000"/>
                <w:sz w:val="18"/>
              </w:rPr>
            </w:pPr>
            <w:r w:rsidRPr="00E436C5">
              <w:rPr>
                <w:color w:val="000000"/>
                <w:sz w:val="18"/>
              </w:rPr>
              <w:t>Identify who will review and confirm agency inventory</w:t>
            </w:r>
          </w:p>
        </w:tc>
        <w:tc>
          <w:tcPr>
            <w:tcW w:w="540" w:type="dxa"/>
            <w:vMerge w:val="restart"/>
            <w:vAlign w:val="center"/>
          </w:tcPr>
          <w:p w14:paraId="386C588F" w14:textId="77777777" w:rsidR="00A86EC0" w:rsidRPr="00A23B3F" w:rsidRDefault="00A86EC0" w:rsidP="004D3659">
            <w:pPr>
              <w:rPr>
                <w:rFonts w:eastAsia="Calibri"/>
                <w:sz w:val="20"/>
                <w:szCs w:val="20"/>
              </w:rPr>
            </w:pPr>
          </w:p>
          <w:sdt>
            <w:sdtPr>
              <w:rPr>
                <w:rFonts w:ascii="Segoe UI Symbol" w:eastAsia="MS Gothic" w:hAnsi="Segoe UI Symbol" w:cs="Segoe UI Symbol"/>
                <w:sz w:val="20"/>
                <w:szCs w:val="20"/>
              </w:rPr>
              <w:id w:val="1923834543"/>
              <w14:checkbox>
                <w14:checked w14:val="0"/>
                <w14:checkedState w14:val="00FE" w14:font="Wingdings"/>
                <w14:uncheckedState w14:val="2610" w14:font="MS Gothic"/>
              </w14:checkbox>
            </w:sdtPr>
            <w:sdtEndPr/>
            <w:sdtContent>
              <w:p w14:paraId="2F8E2E7B" w14:textId="743E2798" w:rsidR="00A86EC0" w:rsidRPr="00A23B3F" w:rsidRDefault="000B708C" w:rsidP="004D3659">
                <w:pPr>
                  <w:jc w:val="center"/>
                  <w:rPr>
                    <w:rFonts w:eastAsia="Calibri"/>
                    <w:sz w:val="20"/>
                    <w:szCs w:val="20"/>
                  </w:rPr>
                </w:pPr>
                <w:r w:rsidRPr="00A23B3F">
                  <w:rPr>
                    <w:rFonts w:ascii="Segoe UI Symbol" w:eastAsia="MS Gothic" w:hAnsi="Segoe UI Symbol" w:cs="Segoe UI Symbol"/>
                    <w:sz w:val="20"/>
                    <w:szCs w:val="20"/>
                  </w:rPr>
                  <w:t>☐</w:t>
                </w:r>
              </w:p>
            </w:sdtContent>
          </w:sdt>
        </w:tc>
        <w:tc>
          <w:tcPr>
            <w:tcW w:w="1350" w:type="dxa"/>
            <w:vMerge w:val="restart"/>
            <w:vAlign w:val="center"/>
          </w:tcPr>
          <w:p w14:paraId="7C99F7ED" w14:textId="77777777" w:rsidR="00A86EC0" w:rsidRPr="00E436C5" w:rsidRDefault="00A86EC0" w:rsidP="004D3659">
            <w:pPr>
              <w:jc w:val="center"/>
              <w:rPr>
                <w:rFonts w:eastAsia="Calibri"/>
                <w:sz w:val="18"/>
              </w:rPr>
            </w:pPr>
            <w:r w:rsidRPr="00E436C5">
              <w:rPr>
                <w:rFonts w:eastAsia="Calibri"/>
                <w:sz w:val="18"/>
              </w:rPr>
              <w:t>Oct 2016</w:t>
            </w:r>
          </w:p>
        </w:tc>
      </w:tr>
      <w:tr w:rsidR="004F55E8" w:rsidRPr="007A4B19" w14:paraId="13F44F41" w14:textId="77777777" w:rsidTr="0014363D">
        <w:trPr>
          <w:cantSplit/>
          <w:trHeight w:val="260"/>
          <w:jc w:val="center"/>
        </w:trPr>
        <w:tc>
          <w:tcPr>
            <w:tcW w:w="2875" w:type="dxa"/>
            <w:vMerge/>
            <w:vAlign w:val="center"/>
          </w:tcPr>
          <w:p w14:paraId="776BEBDA" w14:textId="77777777" w:rsidR="00A86EC0" w:rsidRPr="004E72E6" w:rsidRDefault="00A86EC0" w:rsidP="004D3659">
            <w:pPr>
              <w:widowControl/>
              <w:tabs>
                <w:tab w:val="left" w:pos="3150"/>
              </w:tabs>
              <w:autoSpaceDE/>
              <w:autoSpaceDN/>
              <w:adjustRightInd/>
              <w:spacing w:after="120"/>
              <w:jc w:val="left"/>
              <w:rPr>
                <w:rFonts w:eastAsia="Calibri"/>
                <w:b/>
                <w:sz w:val="18"/>
                <w:szCs w:val="18"/>
              </w:rPr>
            </w:pPr>
          </w:p>
        </w:tc>
        <w:tc>
          <w:tcPr>
            <w:tcW w:w="5760" w:type="dxa"/>
            <w:vAlign w:val="center"/>
          </w:tcPr>
          <w:p w14:paraId="0244121F" w14:textId="77777777" w:rsidR="00A86EC0" w:rsidRPr="00C510B5" w:rsidRDefault="00A86EC0" w:rsidP="000567A5">
            <w:pPr>
              <w:pStyle w:val="ListParagraph"/>
              <w:widowControl/>
              <w:numPr>
                <w:ilvl w:val="0"/>
                <w:numId w:val="45"/>
              </w:numPr>
              <w:autoSpaceDE/>
              <w:autoSpaceDN/>
              <w:adjustRightInd/>
              <w:jc w:val="left"/>
              <w:rPr>
                <w:color w:val="000000"/>
                <w:sz w:val="18"/>
                <w:szCs w:val="20"/>
              </w:rPr>
            </w:pPr>
            <w:r w:rsidRPr="00C510B5">
              <w:rPr>
                <w:color w:val="000000"/>
                <w:sz w:val="18"/>
                <w:szCs w:val="20"/>
              </w:rPr>
              <w:t>Download agency inventory from TI</w:t>
            </w:r>
          </w:p>
        </w:tc>
        <w:tc>
          <w:tcPr>
            <w:tcW w:w="540" w:type="dxa"/>
            <w:vMerge/>
          </w:tcPr>
          <w:p w14:paraId="0877CF8F" w14:textId="77777777" w:rsidR="00A86EC0" w:rsidRPr="00C510B5" w:rsidRDefault="00A86EC0" w:rsidP="004D3659">
            <w:pPr>
              <w:widowControl/>
              <w:tabs>
                <w:tab w:val="left" w:pos="3150"/>
              </w:tabs>
              <w:autoSpaceDE/>
              <w:autoSpaceDN/>
              <w:adjustRightInd/>
              <w:spacing w:after="120"/>
              <w:rPr>
                <w:rFonts w:eastAsia="Calibri"/>
                <w:b/>
                <w:sz w:val="18"/>
                <w:szCs w:val="20"/>
              </w:rPr>
            </w:pPr>
          </w:p>
        </w:tc>
        <w:tc>
          <w:tcPr>
            <w:tcW w:w="1350" w:type="dxa"/>
            <w:vMerge/>
            <w:vAlign w:val="center"/>
          </w:tcPr>
          <w:p w14:paraId="77625F70" w14:textId="77777777" w:rsidR="00A86EC0" w:rsidRPr="004E72E6" w:rsidRDefault="00A86EC0" w:rsidP="004D3659">
            <w:pPr>
              <w:widowControl/>
              <w:tabs>
                <w:tab w:val="left" w:pos="3150"/>
              </w:tabs>
              <w:autoSpaceDE/>
              <w:autoSpaceDN/>
              <w:adjustRightInd/>
              <w:spacing w:after="120"/>
              <w:rPr>
                <w:rFonts w:eastAsia="Calibri"/>
                <w:sz w:val="18"/>
                <w:szCs w:val="18"/>
              </w:rPr>
            </w:pPr>
          </w:p>
        </w:tc>
      </w:tr>
      <w:tr w:rsidR="004F55E8" w:rsidRPr="007A4B19" w14:paraId="32EBFF7C" w14:textId="77777777" w:rsidTr="0014363D">
        <w:trPr>
          <w:cantSplit/>
          <w:trHeight w:val="260"/>
          <w:jc w:val="center"/>
        </w:trPr>
        <w:tc>
          <w:tcPr>
            <w:tcW w:w="2875" w:type="dxa"/>
            <w:vMerge/>
            <w:vAlign w:val="center"/>
          </w:tcPr>
          <w:p w14:paraId="1E9139D2" w14:textId="77777777" w:rsidR="00A86EC0" w:rsidRPr="004E72E6" w:rsidRDefault="00A86EC0" w:rsidP="004D3659">
            <w:pPr>
              <w:widowControl/>
              <w:tabs>
                <w:tab w:val="left" w:pos="3150"/>
              </w:tabs>
              <w:autoSpaceDE/>
              <w:autoSpaceDN/>
              <w:adjustRightInd/>
              <w:spacing w:after="120"/>
              <w:jc w:val="left"/>
              <w:rPr>
                <w:rFonts w:eastAsia="Calibri"/>
                <w:b/>
                <w:sz w:val="18"/>
                <w:szCs w:val="18"/>
              </w:rPr>
            </w:pPr>
          </w:p>
        </w:tc>
        <w:tc>
          <w:tcPr>
            <w:tcW w:w="5760" w:type="dxa"/>
            <w:vAlign w:val="center"/>
          </w:tcPr>
          <w:p w14:paraId="4463F286" w14:textId="77777777" w:rsidR="00A86EC0" w:rsidRPr="00C510B5" w:rsidRDefault="00A86EC0" w:rsidP="000567A5">
            <w:pPr>
              <w:pStyle w:val="ListParagraph"/>
              <w:widowControl/>
              <w:numPr>
                <w:ilvl w:val="0"/>
                <w:numId w:val="45"/>
              </w:numPr>
              <w:autoSpaceDE/>
              <w:autoSpaceDN/>
              <w:adjustRightInd/>
              <w:jc w:val="left"/>
              <w:rPr>
                <w:color w:val="000000"/>
                <w:sz w:val="18"/>
                <w:szCs w:val="20"/>
              </w:rPr>
            </w:pPr>
            <w:r w:rsidRPr="00C510B5">
              <w:rPr>
                <w:color w:val="000000"/>
                <w:sz w:val="18"/>
                <w:szCs w:val="20"/>
              </w:rPr>
              <w:t>Review inventory</w:t>
            </w:r>
          </w:p>
        </w:tc>
        <w:tc>
          <w:tcPr>
            <w:tcW w:w="540" w:type="dxa"/>
            <w:vMerge/>
          </w:tcPr>
          <w:p w14:paraId="495BD239" w14:textId="77777777" w:rsidR="00A86EC0" w:rsidRPr="00C510B5" w:rsidRDefault="00A86EC0" w:rsidP="004D3659">
            <w:pPr>
              <w:widowControl/>
              <w:tabs>
                <w:tab w:val="left" w:pos="3150"/>
              </w:tabs>
              <w:autoSpaceDE/>
              <w:autoSpaceDN/>
              <w:adjustRightInd/>
              <w:spacing w:after="120"/>
              <w:rPr>
                <w:rFonts w:eastAsia="Calibri"/>
                <w:b/>
                <w:sz w:val="18"/>
                <w:szCs w:val="20"/>
              </w:rPr>
            </w:pPr>
          </w:p>
        </w:tc>
        <w:tc>
          <w:tcPr>
            <w:tcW w:w="1350" w:type="dxa"/>
            <w:vMerge/>
            <w:vAlign w:val="center"/>
          </w:tcPr>
          <w:p w14:paraId="629CC2DA" w14:textId="77777777" w:rsidR="00A86EC0" w:rsidRPr="004E72E6" w:rsidRDefault="00A86EC0" w:rsidP="004D3659">
            <w:pPr>
              <w:widowControl/>
              <w:tabs>
                <w:tab w:val="left" w:pos="3150"/>
              </w:tabs>
              <w:autoSpaceDE/>
              <w:autoSpaceDN/>
              <w:adjustRightInd/>
              <w:spacing w:after="120"/>
              <w:rPr>
                <w:rFonts w:eastAsia="Calibri"/>
                <w:b/>
                <w:sz w:val="18"/>
                <w:szCs w:val="18"/>
              </w:rPr>
            </w:pPr>
          </w:p>
        </w:tc>
      </w:tr>
      <w:tr w:rsidR="004F55E8" w:rsidRPr="007A4B19" w14:paraId="24A53DC7" w14:textId="77777777" w:rsidTr="0014363D">
        <w:trPr>
          <w:cantSplit/>
          <w:trHeight w:val="260"/>
          <w:jc w:val="center"/>
        </w:trPr>
        <w:tc>
          <w:tcPr>
            <w:tcW w:w="2875" w:type="dxa"/>
            <w:vMerge/>
            <w:vAlign w:val="center"/>
          </w:tcPr>
          <w:p w14:paraId="22B50D2B" w14:textId="77777777" w:rsidR="00A86EC0" w:rsidRPr="004E72E6" w:rsidRDefault="00A86EC0" w:rsidP="004D3659">
            <w:pPr>
              <w:widowControl/>
              <w:tabs>
                <w:tab w:val="left" w:pos="3150"/>
              </w:tabs>
              <w:autoSpaceDE/>
              <w:autoSpaceDN/>
              <w:adjustRightInd/>
              <w:spacing w:after="120"/>
              <w:jc w:val="left"/>
              <w:rPr>
                <w:rFonts w:eastAsia="Calibri"/>
                <w:b/>
                <w:sz w:val="18"/>
                <w:szCs w:val="18"/>
              </w:rPr>
            </w:pPr>
          </w:p>
        </w:tc>
        <w:tc>
          <w:tcPr>
            <w:tcW w:w="5760" w:type="dxa"/>
            <w:vAlign w:val="center"/>
          </w:tcPr>
          <w:p w14:paraId="16C6EB49" w14:textId="77777777" w:rsidR="00A86EC0" w:rsidRPr="00C510B5" w:rsidRDefault="00A86EC0" w:rsidP="000567A5">
            <w:pPr>
              <w:pStyle w:val="ListParagraph"/>
              <w:widowControl/>
              <w:numPr>
                <w:ilvl w:val="0"/>
                <w:numId w:val="45"/>
              </w:numPr>
              <w:autoSpaceDE/>
              <w:autoSpaceDN/>
              <w:adjustRightInd/>
              <w:jc w:val="left"/>
              <w:rPr>
                <w:color w:val="000000"/>
                <w:sz w:val="18"/>
                <w:szCs w:val="20"/>
              </w:rPr>
            </w:pPr>
            <w:r w:rsidRPr="00C510B5">
              <w:rPr>
                <w:color w:val="000000"/>
                <w:sz w:val="18"/>
                <w:szCs w:val="20"/>
              </w:rPr>
              <w:t>Identify discrepancies</w:t>
            </w:r>
          </w:p>
        </w:tc>
        <w:tc>
          <w:tcPr>
            <w:tcW w:w="540" w:type="dxa"/>
            <w:vMerge/>
          </w:tcPr>
          <w:p w14:paraId="683D1FFE" w14:textId="77777777" w:rsidR="00A86EC0" w:rsidRPr="00C510B5" w:rsidRDefault="00A86EC0" w:rsidP="004D3659">
            <w:pPr>
              <w:widowControl/>
              <w:tabs>
                <w:tab w:val="left" w:pos="3150"/>
              </w:tabs>
              <w:autoSpaceDE/>
              <w:autoSpaceDN/>
              <w:adjustRightInd/>
              <w:spacing w:after="120"/>
              <w:rPr>
                <w:rFonts w:eastAsia="Calibri"/>
                <w:b/>
                <w:sz w:val="18"/>
                <w:szCs w:val="20"/>
              </w:rPr>
            </w:pPr>
          </w:p>
        </w:tc>
        <w:tc>
          <w:tcPr>
            <w:tcW w:w="1350" w:type="dxa"/>
            <w:vMerge/>
            <w:vAlign w:val="center"/>
          </w:tcPr>
          <w:p w14:paraId="0C013043" w14:textId="77777777" w:rsidR="00A86EC0" w:rsidRPr="004E72E6" w:rsidRDefault="00A86EC0" w:rsidP="004D3659">
            <w:pPr>
              <w:widowControl/>
              <w:tabs>
                <w:tab w:val="left" w:pos="3150"/>
              </w:tabs>
              <w:autoSpaceDE/>
              <w:autoSpaceDN/>
              <w:adjustRightInd/>
              <w:spacing w:after="120"/>
              <w:rPr>
                <w:rFonts w:eastAsia="Calibri"/>
                <w:b/>
                <w:sz w:val="18"/>
                <w:szCs w:val="18"/>
              </w:rPr>
            </w:pPr>
          </w:p>
        </w:tc>
      </w:tr>
      <w:tr w:rsidR="004F55E8" w:rsidRPr="007A4B19" w14:paraId="669D5A58" w14:textId="77777777" w:rsidTr="0014363D">
        <w:trPr>
          <w:cantSplit/>
          <w:trHeight w:val="260"/>
          <w:jc w:val="center"/>
        </w:trPr>
        <w:tc>
          <w:tcPr>
            <w:tcW w:w="2875" w:type="dxa"/>
            <w:vMerge/>
            <w:vAlign w:val="center"/>
          </w:tcPr>
          <w:p w14:paraId="723FC10C" w14:textId="77777777" w:rsidR="00A86EC0" w:rsidRPr="004E72E6" w:rsidRDefault="00A86EC0" w:rsidP="004D3659">
            <w:pPr>
              <w:widowControl/>
              <w:tabs>
                <w:tab w:val="left" w:pos="3150"/>
              </w:tabs>
              <w:autoSpaceDE/>
              <w:autoSpaceDN/>
              <w:adjustRightInd/>
              <w:spacing w:after="120"/>
              <w:jc w:val="left"/>
              <w:rPr>
                <w:rFonts w:eastAsia="Calibri"/>
                <w:b/>
                <w:sz w:val="18"/>
                <w:szCs w:val="18"/>
              </w:rPr>
            </w:pPr>
          </w:p>
        </w:tc>
        <w:tc>
          <w:tcPr>
            <w:tcW w:w="5760" w:type="dxa"/>
            <w:vAlign w:val="center"/>
          </w:tcPr>
          <w:p w14:paraId="12DDEDB0" w14:textId="77777777" w:rsidR="00A86EC0" w:rsidRPr="00C510B5" w:rsidRDefault="00A86EC0" w:rsidP="000567A5">
            <w:pPr>
              <w:pStyle w:val="ListParagraph"/>
              <w:widowControl/>
              <w:numPr>
                <w:ilvl w:val="0"/>
                <w:numId w:val="45"/>
              </w:numPr>
              <w:autoSpaceDE/>
              <w:autoSpaceDN/>
              <w:adjustRightInd/>
              <w:jc w:val="left"/>
              <w:rPr>
                <w:color w:val="000000"/>
                <w:sz w:val="18"/>
                <w:szCs w:val="20"/>
              </w:rPr>
            </w:pPr>
            <w:r w:rsidRPr="00C510B5">
              <w:rPr>
                <w:color w:val="000000"/>
                <w:sz w:val="18"/>
                <w:szCs w:val="20"/>
              </w:rPr>
              <w:t>Communicate discrepancies through TI application</w:t>
            </w:r>
          </w:p>
        </w:tc>
        <w:tc>
          <w:tcPr>
            <w:tcW w:w="540" w:type="dxa"/>
            <w:vMerge/>
          </w:tcPr>
          <w:p w14:paraId="66F42405" w14:textId="77777777" w:rsidR="00A86EC0" w:rsidRPr="00C510B5" w:rsidRDefault="00A86EC0" w:rsidP="004D3659">
            <w:pPr>
              <w:widowControl/>
              <w:tabs>
                <w:tab w:val="left" w:pos="3150"/>
              </w:tabs>
              <w:autoSpaceDE/>
              <w:autoSpaceDN/>
              <w:adjustRightInd/>
              <w:spacing w:after="120"/>
              <w:rPr>
                <w:rFonts w:eastAsia="Calibri"/>
                <w:b/>
                <w:sz w:val="18"/>
                <w:szCs w:val="20"/>
              </w:rPr>
            </w:pPr>
          </w:p>
        </w:tc>
        <w:tc>
          <w:tcPr>
            <w:tcW w:w="1350" w:type="dxa"/>
            <w:vMerge/>
            <w:vAlign w:val="center"/>
          </w:tcPr>
          <w:p w14:paraId="3F16BEAA" w14:textId="77777777" w:rsidR="00A86EC0" w:rsidRPr="004E72E6" w:rsidRDefault="00A86EC0" w:rsidP="004D3659">
            <w:pPr>
              <w:widowControl/>
              <w:tabs>
                <w:tab w:val="left" w:pos="3150"/>
              </w:tabs>
              <w:autoSpaceDE/>
              <w:autoSpaceDN/>
              <w:adjustRightInd/>
              <w:spacing w:after="120"/>
              <w:rPr>
                <w:rFonts w:eastAsia="Calibri"/>
                <w:b/>
                <w:sz w:val="18"/>
                <w:szCs w:val="18"/>
              </w:rPr>
            </w:pPr>
          </w:p>
        </w:tc>
      </w:tr>
      <w:tr w:rsidR="004F55E8" w:rsidRPr="007A4B19" w14:paraId="7DD0E0C9" w14:textId="77777777" w:rsidTr="00A718A8">
        <w:trPr>
          <w:cantSplit/>
          <w:trHeight w:val="1430"/>
          <w:jc w:val="center"/>
        </w:trPr>
        <w:tc>
          <w:tcPr>
            <w:tcW w:w="2875" w:type="dxa"/>
            <w:shd w:val="clear" w:color="auto" w:fill="DBE5F1" w:themeFill="accent1" w:themeFillTint="33"/>
            <w:vAlign w:val="center"/>
          </w:tcPr>
          <w:p w14:paraId="3D9FD2F6" w14:textId="77777777" w:rsidR="005D7412" w:rsidRPr="00E436C5" w:rsidRDefault="00A86EC0" w:rsidP="004D3659">
            <w:pPr>
              <w:widowControl/>
              <w:tabs>
                <w:tab w:val="left" w:pos="3150"/>
              </w:tabs>
              <w:autoSpaceDE/>
              <w:autoSpaceDN/>
              <w:adjustRightInd/>
              <w:spacing w:after="120"/>
              <w:jc w:val="left"/>
              <w:rPr>
                <w:rFonts w:eastAsia="Calibri"/>
                <w:sz w:val="18"/>
              </w:rPr>
            </w:pPr>
            <w:r w:rsidRPr="00E436C5">
              <w:rPr>
                <w:rFonts w:eastAsia="Calibri"/>
                <w:sz w:val="18"/>
              </w:rPr>
              <w:t>Review EIS RFP to become familiar with the available services, management and operations requirements, and pricing structure</w:t>
            </w:r>
          </w:p>
        </w:tc>
        <w:tc>
          <w:tcPr>
            <w:tcW w:w="5760" w:type="dxa"/>
            <w:shd w:val="clear" w:color="auto" w:fill="DBE5F1" w:themeFill="accent1" w:themeFillTint="33"/>
            <w:vAlign w:val="center"/>
          </w:tcPr>
          <w:p w14:paraId="376CFDE9" w14:textId="3145F234" w:rsidR="005D7412" w:rsidRPr="00E436C5" w:rsidRDefault="0049548D" w:rsidP="004D3659">
            <w:pPr>
              <w:widowControl/>
              <w:tabs>
                <w:tab w:val="left" w:pos="3150"/>
              </w:tabs>
              <w:autoSpaceDE/>
              <w:autoSpaceDN/>
              <w:adjustRightInd/>
              <w:spacing w:after="120"/>
              <w:jc w:val="left"/>
              <w:rPr>
                <w:rFonts w:eastAsia="Calibri"/>
                <w:sz w:val="18"/>
              </w:rPr>
            </w:pPr>
            <w:r>
              <w:rPr>
                <w:rFonts w:eastAsia="Calibri"/>
                <w:sz w:val="18"/>
              </w:rPr>
              <w:t>SAM</w:t>
            </w:r>
            <w:r w:rsidR="00A86EC0" w:rsidRPr="00E436C5">
              <w:rPr>
                <w:rFonts w:eastAsia="Calibri"/>
                <w:sz w:val="18"/>
              </w:rPr>
              <w:t>.gov; Ref. Solicitation No. QTA0015THA3003</w:t>
            </w:r>
          </w:p>
        </w:tc>
        <w:sdt>
          <w:sdtPr>
            <w:rPr>
              <w:rFonts w:ascii="Segoe UI Symbol" w:eastAsia="MS Gothic" w:hAnsi="Segoe UI Symbol" w:cs="Segoe UI Symbol"/>
              <w:sz w:val="20"/>
              <w:szCs w:val="20"/>
            </w:rPr>
            <w:id w:val="-1684267388"/>
            <w14:checkbox>
              <w14:checked w14:val="0"/>
              <w14:checkedState w14:val="00FE" w14:font="Wingdings"/>
              <w14:uncheckedState w14:val="2610" w14:font="MS Gothic"/>
            </w14:checkbox>
          </w:sdtPr>
          <w:sdtEndPr/>
          <w:sdtContent>
            <w:tc>
              <w:tcPr>
                <w:tcW w:w="540" w:type="dxa"/>
                <w:shd w:val="clear" w:color="auto" w:fill="DBE5F1" w:themeFill="accent1" w:themeFillTint="33"/>
                <w:vAlign w:val="center"/>
              </w:tcPr>
              <w:p w14:paraId="6B55A59D" w14:textId="1E00D02F" w:rsidR="005D7412" w:rsidRPr="00A23B3F" w:rsidRDefault="000B708C" w:rsidP="004D3659">
                <w:pPr>
                  <w:widowControl/>
                  <w:tabs>
                    <w:tab w:val="left" w:pos="3150"/>
                  </w:tabs>
                  <w:autoSpaceDE/>
                  <w:autoSpaceDN/>
                  <w:adjustRightInd/>
                  <w:spacing w:after="120"/>
                  <w:jc w:val="center"/>
                  <w:rPr>
                    <w:rFonts w:eastAsia="Calibri"/>
                    <w:sz w:val="20"/>
                    <w:szCs w:val="20"/>
                  </w:rPr>
                </w:pPr>
                <w:r w:rsidRPr="00A23B3F">
                  <w:rPr>
                    <w:rFonts w:ascii="Segoe UI Symbol" w:eastAsia="MS Gothic" w:hAnsi="Segoe UI Symbol" w:cs="Segoe UI Symbol"/>
                    <w:sz w:val="20"/>
                    <w:szCs w:val="20"/>
                  </w:rPr>
                  <w:t>☐</w:t>
                </w:r>
              </w:p>
            </w:tc>
          </w:sdtContent>
        </w:sdt>
        <w:tc>
          <w:tcPr>
            <w:tcW w:w="1350" w:type="dxa"/>
            <w:shd w:val="clear" w:color="auto" w:fill="DBE5F1" w:themeFill="accent1" w:themeFillTint="33"/>
            <w:vAlign w:val="center"/>
          </w:tcPr>
          <w:p w14:paraId="4FBF6D4C" w14:textId="77777777" w:rsidR="005D7412" w:rsidRPr="00E436C5" w:rsidRDefault="00A86EC0" w:rsidP="004D3659">
            <w:pPr>
              <w:widowControl/>
              <w:tabs>
                <w:tab w:val="left" w:pos="3150"/>
              </w:tabs>
              <w:autoSpaceDE/>
              <w:autoSpaceDN/>
              <w:adjustRightInd/>
              <w:spacing w:after="120"/>
              <w:jc w:val="center"/>
              <w:rPr>
                <w:rFonts w:eastAsia="Calibri"/>
                <w:sz w:val="18"/>
              </w:rPr>
            </w:pPr>
            <w:r w:rsidRPr="00E436C5">
              <w:rPr>
                <w:rFonts w:eastAsia="Calibri"/>
                <w:sz w:val="18"/>
              </w:rPr>
              <w:t>Oct 2016</w:t>
            </w:r>
          </w:p>
        </w:tc>
      </w:tr>
      <w:tr w:rsidR="00044FA9" w:rsidRPr="007A4B19" w14:paraId="317EC24D" w14:textId="77777777" w:rsidTr="0014363D">
        <w:trPr>
          <w:cantSplit/>
          <w:trHeight w:val="215"/>
          <w:jc w:val="center"/>
        </w:trPr>
        <w:tc>
          <w:tcPr>
            <w:tcW w:w="2875" w:type="dxa"/>
            <w:vMerge w:val="restart"/>
            <w:vAlign w:val="center"/>
          </w:tcPr>
          <w:p w14:paraId="514C799A" w14:textId="324EEF8F" w:rsidR="00044FA9" w:rsidRPr="00E436C5" w:rsidRDefault="00044FA9" w:rsidP="00971BB9">
            <w:pPr>
              <w:widowControl/>
              <w:tabs>
                <w:tab w:val="left" w:pos="3150"/>
              </w:tabs>
              <w:autoSpaceDE/>
              <w:autoSpaceDN/>
              <w:adjustRightInd/>
              <w:spacing w:after="120"/>
              <w:jc w:val="left"/>
              <w:rPr>
                <w:rFonts w:eastAsia="Calibri"/>
                <w:sz w:val="18"/>
              </w:rPr>
            </w:pPr>
            <w:r w:rsidRPr="00E436C5">
              <w:rPr>
                <w:rFonts w:eastAsia="Calibri"/>
                <w:sz w:val="18"/>
              </w:rPr>
              <w:t xml:space="preserve">Take available </w:t>
            </w:r>
            <w:r w:rsidR="00844874" w:rsidRPr="00C617D4">
              <w:rPr>
                <w:rFonts w:eastAsia="Calibri"/>
                <w:sz w:val="18"/>
                <w:szCs w:val="18"/>
              </w:rPr>
              <w:t xml:space="preserve">training courses </w:t>
            </w:r>
            <w:r w:rsidRPr="00C617D4">
              <w:rPr>
                <w:rFonts w:eastAsia="Calibri"/>
                <w:sz w:val="18"/>
                <w:szCs w:val="18"/>
              </w:rPr>
              <w:t xml:space="preserve">(Ref. </w:t>
            </w:r>
            <w:r w:rsidR="00971BB9">
              <w:rPr>
                <w:rFonts w:eastAsia="Calibri"/>
                <w:sz w:val="18"/>
                <w:szCs w:val="18"/>
              </w:rPr>
              <w:t xml:space="preserve">EIS </w:t>
            </w:r>
            <w:r w:rsidR="00971BB9" w:rsidRPr="00E436C5">
              <w:rPr>
                <w:rFonts w:eastAsia="Calibri"/>
                <w:sz w:val="18"/>
              </w:rPr>
              <w:t xml:space="preserve">Training </w:t>
            </w:r>
            <w:r w:rsidR="00971BB9">
              <w:rPr>
                <w:rFonts w:eastAsia="Calibri"/>
                <w:sz w:val="18"/>
                <w:szCs w:val="18"/>
              </w:rPr>
              <w:t xml:space="preserve">Opportunities on </w:t>
            </w:r>
            <w:hyperlink r:id="rId36" w:history="1">
              <w:r w:rsidR="00FD1F14" w:rsidRPr="003408FE">
                <w:rPr>
                  <w:rStyle w:val="Hyperlink"/>
                  <w:sz w:val="18"/>
                  <w:szCs w:val="18"/>
                  <w:shd w:val="clear" w:color="auto" w:fill="FFFFFF"/>
                </w:rPr>
                <w:t>gsa.gov/eis</w:t>
              </w:r>
            </w:hyperlink>
            <w:r w:rsidRPr="00E436C5">
              <w:rPr>
                <w:rFonts w:eastAsia="Calibri"/>
                <w:sz w:val="18"/>
              </w:rPr>
              <w:t>)</w:t>
            </w:r>
          </w:p>
        </w:tc>
        <w:tc>
          <w:tcPr>
            <w:tcW w:w="5760" w:type="dxa"/>
            <w:vAlign w:val="center"/>
          </w:tcPr>
          <w:p w14:paraId="7DE1E913" w14:textId="3A85CB1C" w:rsidR="00044FA9" w:rsidRPr="00E436C5" w:rsidRDefault="00044FA9" w:rsidP="000567A5">
            <w:pPr>
              <w:pStyle w:val="ListParagraph"/>
              <w:widowControl/>
              <w:numPr>
                <w:ilvl w:val="0"/>
                <w:numId w:val="49"/>
              </w:numPr>
              <w:autoSpaceDE/>
              <w:autoSpaceDN/>
              <w:adjustRightInd/>
              <w:jc w:val="left"/>
              <w:rPr>
                <w:color w:val="000000"/>
                <w:sz w:val="18"/>
              </w:rPr>
            </w:pPr>
            <w:r w:rsidRPr="00E436C5">
              <w:rPr>
                <w:color w:val="000000"/>
                <w:sz w:val="18"/>
              </w:rPr>
              <w:t>EIS Fundamentals</w:t>
            </w:r>
            <w:r w:rsidR="00BC0ADA" w:rsidRPr="00C617D4">
              <w:rPr>
                <w:color w:val="000000"/>
                <w:sz w:val="18"/>
                <w:szCs w:val="18"/>
              </w:rPr>
              <w:t xml:space="preserve"> (Archived July 2017)</w:t>
            </w:r>
            <w:r w:rsidRPr="00C617D4">
              <w:rPr>
                <w:color w:val="000000"/>
                <w:sz w:val="18"/>
                <w:szCs w:val="18"/>
              </w:rPr>
              <w:t xml:space="preserve"> </w:t>
            </w:r>
          </w:p>
        </w:tc>
        <w:sdt>
          <w:sdtPr>
            <w:rPr>
              <w:rFonts w:ascii="Segoe UI Symbol" w:eastAsia="MS Gothic" w:hAnsi="Segoe UI Symbol" w:cs="Segoe UI Symbol"/>
              <w:sz w:val="20"/>
              <w:szCs w:val="20"/>
            </w:rPr>
            <w:id w:val="-471146379"/>
            <w14:checkbox>
              <w14:checked w14:val="0"/>
              <w14:checkedState w14:val="00FE" w14:font="Wingdings"/>
              <w14:uncheckedState w14:val="2610" w14:font="MS Gothic"/>
            </w14:checkbox>
          </w:sdtPr>
          <w:sdtEndPr>
            <w:rPr>
              <w:rFonts w:cs="Arial"/>
              <w:szCs w:val="24"/>
            </w:rPr>
          </w:sdtEndPr>
          <w:sdtContent>
            <w:tc>
              <w:tcPr>
                <w:tcW w:w="540" w:type="dxa"/>
                <w:vMerge w:val="restart"/>
                <w:vAlign w:val="center"/>
              </w:tcPr>
              <w:p w14:paraId="5EB77FD4" w14:textId="78C7FD39" w:rsidR="00044FA9" w:rsidRPr="00A23B3F" w:rsidRDefault="00044FA9" w:rsidP="004D3659">
                <w:pPr>
                  <w:widowControl/>
                  <w:tabs>
                    <w:tab w:val="left" w:pos="3150"/>
                  </w:tabs>
                  <w:autoSpaceDE/>
                  <w:autoSpaceDN/>
                  <w:adjustRightInd/>
                  <w:spacing w:after="120"/>
                  <w:jc w:val="center"/>
                  <w:rPr>
                    <w:rFonts w:eastAsia="Calibri"/>
                    <w:b/>
                    <w:sz w:val="20"/>
                    <w:szCs w:val="20"/>
                  </w:rPr>
                </w:pPr>
                <w:r w:rsidRPr="009B2DFB">
                  <w:rPr>
                    <w:rFonts w:ascii="MS Gothic" w:eastAsia="MS Gothic" w:hAnsi="MS Gothic" w:hint="eastAsia"/>
                    <w:sz w:val="20"/>
                  </w:rPr>
                  <w:t>☐</w:t>
                </w:r>
              </w:p>
            </w:tc>
          </w:sdtContent>
        </w:sdt>
        <w:tc>
          <w:tcPr>
            <w:tcW w:w="1350" w:type="dxa"/>
            <w:vMerge w:val="restart"/>
            <w:vAlign w:val="center"/>
          </w:tcPr>
          <w:p w14:paraId="40AFC0A8" w14:textId="77777777" w:rsidR="00044FA9" w:rsidRPr="00E436C5" w:rsidRDefault="00044FA9" w:rsidP="004D3659">
            <w:pPr>
              <w:widowControl/>
              <w:tabs>
                <w:tab w:val="left" w:pos="3150"/>
              </w:tabs>
              <w:autoSpaceDE/>
              <w:autoSpaceDN/>
              <w:adjustRightInd/>
              <w:spacing w:after="120"/>
              <w:jc w:val="center"/>
              <w:rPr>
                <w:rFonts w:eastAsia="Calibri"/>
                <w:sz w:val="18"/>
              </w:rPr>
            </w:pPr>
            <w:r w:rsidRPr="00E436C5">
              <w:rPr>
                <w:rFonts w:eastAsia="Calibri"/>
                <w:sz w:val="18"/>
              </w:rPr>
              <w:t>Jun 2016 – Post EIS Award</w:t>
            </w:r>
          </w:p>
        </w:tc>
      </w:tr>
      <w:tr w:rsidR="00044FA9" w:rsidRPr="007A4B19" w14:paraId="53F9E44F" w14:textId="77777777" w:rsidTr="0014363D">
        <w:trPr>
          <w:cantSplit/>
          <w:jc w:val="center"/>
        </w:trPr>
        <w:tc>
          <w:tcPr>
            <w:tcW w:w="2875" w:type="dxa"/>
            <w:vMerge/>
          </w:tcPr>
          <w:p w14:paraId="66F0D292" w14:textId="77777777" w:rsidR="00044FA9" w:rsidRPr="004E72E6" w:rsidRDefault="00044FA9" w:rsidP="004D3659">
            <w:pPr>
              <w:widowControl/>
              <w:tabs>
                <w:tab w:val="left" w:pos="3150"/>
              </w:tabs>
              <w:autoSpaceDE/>
              <w:autoSpaceDN/>
              <w:adjustRightInd/>
              <w:spacing w:after="120"/>
              <w:rPr>
                <w:rFonts w:eastAsia="Calibri"/>
                <w:b/>
                <w:sz w:val="18"/>
                <w:szCs w:val="18"/>
              </w:rPr>
            </w:pPr>
          </w:p>
        </w:tc>
        <w:tc>
          <w:tcPr>
            <w:tcW w:w="5760" w:type="dxa"/>
            <w:vAlign w:val="center"/>
          </w:tcPr>
          <w:p w14:paraId="3FCB19A2" w14:textId="77777777" w:rsidR="00044FA9" w:rsidRPr="00C510B5" w:rsidRDefault="00044FA9" w:rsidP="000567A5">
            <w:pPr>
              <w:pStyle w:val="ListParagraph"/>
              <w:widowControl/>
              <w:numPr>
                <w:ilvl w:val="0"/>
                <w:numId w:val="49"/>
              </w:numPr>
              <w:autoSpaceDE/>
              <w:autoSpaceDN/>
              <w:adjustRightInd/>
              <w:jc w:val="left"/>
              <w:rPr>
                <w:color w:val="000000"/>
                <w:sz w:val="18"/>
                <w:szCs w:val="20"/>
              </w:rPr>
            </w:pPr>
            <w:r w:rsidRPr="00C510B5">
              <w:rPr>
                <w:color w:val="000000"/>
                <w:sz w:val="18"/>
                <w:szCs w:val="20"/>
              </w:rPr>
              <w:t>Transition Inventory</w:t>
            </w:r>
          </w:p>
        </w:tc>
        <w:tc>
          <w:tcPr>
            <w:tcW w:w="540" w:type="dxa"/>
            <w:vMerge/>
          </w:tcPr>
          <w:p w14:paraId="6DA33996" w14:textId="77777777" w:rsidR="00044FA9" w:rsidRPr="00C510B5" w:rsidRDefault="00044FA9" w:rsidP="004D3659">
            <w:pPr>
              <w:widowControl/>
              <w:tabs>
                <w:tab w:val="left" w:pos="3150"/>
              </w:tabs>
              <w:autoSpaceDE/>
              <w:autoSpaceDN/>
              <w:adjustRightInd/>
              <w:spacing w:after="120"/>
              <w:rPr>
                <w:rFonts w:eastAsia="Calibri"/>
                <w:b/>
                <w:sz w:val="18"/>
                <w:szCs w:val="20"/>
              </w:rPr>
            </w:pPr>
          </w:p>
        </w:tc>
        <w:tc>
          <w:tcPr>
            <w:tcW w:w="1350" w:type="dxa"/>
            <w:vMerge/>
            <w:vAlign w:val="center"/>
          </w:tcPr>
          <w:p w14:paraId="29E51240" w14:textId="77777777" w:rsidR="00044FA9" w:rsidRPr="004E72E6" w:rsidRDefault="00044FA9" w:rsidP="004D3659">
            <w:pPr>
              <w:widowControl/>
              <w:tabs>
                <w:tab w:val="left" w:pos="3150"/>
              </w:tabs>
              <w:autoSpaceDE/>
              <w:autoSpaceDN/>
              <w:adjustRightInd/>
              <w:spacing w:after="120"/>
              <w:rPr>
                <w:rFonts w:eastAsia="Calibri"/>
                <w:b/>
                <w:sz w:val="18"/>
                <w:szCs w:val="18"/>
              </w:rPr>
            </w:pPr>
          </w:p>
        </w:tc>
      </w:tr>
      <w:tr w:rsidR="00044FA9" w:rsidRPr="007A4B19" w14:paraId="1E74F904" w14:textId="77777777" w:rsidTr="0014363D">
        <w:trPr>
          <w:cantSplit/>
          <w:jc w:val="center"/>
        </w:trPr>
        <w:tc>
          <w:tcPr>
            <w:tcW w:w="2875" w:type="dxa"/>
            <w:vMerge/>
          </w:tcPr>
          <w:p w14:paraId="198E0EB0" w14:textId="77777777" w:rsidR="00044FA9" w:rsidRPr="004E72E6" w:rsidRDefault="00044FA9" w:rsidP="004D3659">
            <w:pPr>
              <w:widowControl/>
              <w:tabs>
                <w:tab w:val="left" w:pos="3150"/>
              </w:tabs>
              <w:autoSpaceDE/>
              <w:autoSpaceDN/>
              <w:adjustRightInd/>
              <w:spacing w:after="120"/>
              <w:rPr>
                <w:rFonts w:eastAsia="Calibri"/>
                <w:b/>
                <w:sz w:val="18"/>
                <w:szCs w:val="18"/>
              </w:rPr>
            </w:pPr>
          </w:p>
        </w:tc>
        <w:tc>
          <w:tcPr>
            <w:tcW w:w="5760" w:type="dxa"/>
            <w:vAlign w:val="center"/>
          </w:tcPr>
          <w:p w14:paraId="79D64668" w14:textId="585E0571" w:rsidR="00044FA9" w:rsidRPr="00C510B5" w:rsidRDefault="00044FA9" w:rsidP="000567A5">
            <w:pPr>
              <w:pStyle w:val="ListParagraph"/>
              <w:widowControl/>
              <w:numPr>
                <w:ilvl w:val="0"/>
                <w:numId w:val="49"/>
              </w:numPr>
              <w:autoSpaceDE/>
              <w:autoSpaceDN/>
              <w:adjustRightInd/>
              <w:jc w:val="left"/>
              <w:rPr>
                <w:color w:val="000000"/>
                <w:sz w:val="18"/>
                <w:szCs w:val="20"/>
              </w:rPr>
            </w:pPr>
            <w:r w:rsidRPr="00C510B5">
              <w:rPr>
                <w:color w:val="000000"/>
                <w:sz w:val="18"/>
                <w:szCs w:val="20"/>
              </w:rPr>
              <w:t>All Agency Inventory</w:t>
            </w:r>
            <w:r>
              <w:rPr>
                <w:color w:val="000000"/>
                <w:sz w:val="18"/>
                <w:szCs w:val="20"/>
              </w:rPr>
              <w:t xml:space="preserve"> Modules I-II</w:t>
            </w:r>
            <w:r w:rsidR="000F524B">
              <w:rPr>
                <w:color w:val="000000"/>
                <w:sz w:val="18"/>
                <w:szCs w:val="20"/>
              </w:rPr>
              <w:t>I</w:t>
            </w:r>
          </w:p>
        </w:tc>
        <w:tc>
          <w:tcPr>
            <w:tcW w:w="540" w:type="dxa"/>
            <w:vMerge/>
          </w:tcPr>
          <w:p w14:paraId="2C580722" w14:textId="77777777" w:rsidR="00044FA9" w:rsidRPr="00C510B5" w:rsidRDefault="00044FA9" w:rsidP="004D3659">
            <w:pPr>
              <w:widowControl/>
              <w:tabs>
                <w:tab w:val="left" w:pos="3150"/>
              </w:tabs>
              <w:autoSpaceDE/>
              <w:autoSpaceDN/>
              <w:adjustRightInd/>
              <w:spacing w:after="120"/>
              <w:rPr>
                <w:rFonts w:eastAsia="Calibri"/>
                <w:b/>
                <w:sz w:val="18"/>
                <w:szCs w:val="20"/>
              </w:rPr>
            </w:pPr>
          </w:p>
        </w:tc>
        <w:tc>
          <w:tcPr>
            <w:tcW w:w="1350" w:type="dxa"/>
            <w:vMerge/>
            <w:vAlign w:val="center"/>
          </w:tcPr>
          <w:p w14:paraId="481666DD" w14:textId="77777777" w:rsidR="00044FA9" w:rsidRPr="004E72E6" w:rsidRDefault="00044FA9" w:rsidP="004D3659">
            <w:pPr>
              <w:widowControl/>
              <w:tabs>
                <w:tab w:val="left" w:pos="3150"/>
              </w:tabs>
              <w:autoSpaceDE/>
              <w:autoSpaceDN/>
              <w:adjustRightInd/>
              <w:spacing w:after="120"/>
              <w:rPr>
                <w:rFonts w:eastAsia="Calibri"/>
                <w:b/>
                <w:sz w:val="18"/>
                <w:szCs w:val="18"/>
              </w:rPr>
            </w:pPr>
          </w:p>
        </w:tc>
      </w:tr>
      <w:tr w:rsidR="00044FA9" w:rsidRPr="007A4B19" w14:paraId="4C0D43DF" w14:textId="77777777" w:rsidTr="0014363D">
        <w:trPr>
          <w:cantSplit/>
          <w:jc w:val="center"/>
        </w:trPr>
        <w:tc>
          <w:tcPr>
            <w:tcW w:w="2875" w:type="dxa"/>
            <w:vMerge/>
          </w:tcPr>
          <w:p w14:paraId="0881C1EF" w14:textId="77777777" w:rsidR="00044FA9" w:rsidRPr="004E72E6" w:rsidRDefault="00044FA9" w:rsidP="004D3659">
            <w:pPr>
              <w:widowControl/>
              <w:tabs>
                <w:tab w:val="left" w:pos="3150"/>
              </w:tabs>
              <w:autoSpaceDE/>
              <w:autoSpaceDN/>
              <w:adjustRightInd/>
              <w:spacing w:after="120"/>
              <w:rPr>
                <w:rFonts w:eastAsia="Calibri"/>
                <w:b/>
                <w:sz w:val="18"/>
                <w:szCs w:val="18"/>
              </w:rPr>
            </w:pPr>
          </w:p>
        </w:tc>
        <w:tc>
          <w:tcPr>
            <w:tcW w:w="5760" w:type="dxa"/>
            <w:vAlign w:val="center"/>
          </w:tcPr>
          <w:p w14:paraId="74F99921" w14:textId="77777777" w:rsidR="00044FA9" w:rsidRPr="00C95436" w:rsidRDefault="00044FA9" w:rsidP="000567A5">
            <w:pPr>
              <w:pStyle w:val="ListParagraph"/>
              <w:widowControl/>
              <w:numPr>
                <w:ilvl w:val="0"/>
                <w:numId w:val="49"/>
              </w:numPr>
              <w:autoSpaceDE/>
              <w:autoSpaceDN/>
              <w:adjustRightInd/>
              <w:jc w:val="left"/>
              <w:rPr>
                <w:color w:val="000000"/>
                <w:sz w:val="18"/>
                <w:szCs w:val="20"/>
                <w:u w:val="single"/>
              </w:rPr>
            </w:pPr>
            <w:r w:rsidRPr="00C95436">
              <w:rPr>
                <w:color w:val="000000"/>
                <w:sz w:val="18"/>
                <w:szCs w:val="20"/>
                <w:u w:val="single"/>
              </w:rPr>
              <w:t>Fair Opportunity and Ordering Guide</w:t>
            </w:r>
          </w:p>
        </w:tc>
        <w:tc>
          <w:tcPr>
            <w:tcW w:w="540" w:type="dxa"/>
            <w:vMerge/>
          </w:tcPr>
          <w:p w14:paraId="267486BE" w14:textId="77777777" w:rsidR="00044FA9" w:rsidRPr="00C510B5" w:rsidRDefault="00044FA9" w:rsidP="004D3659">
            <w:pPr>
              <w:widowControl/>
              <w:tabs>
                <w:tab w:val="left" w:pos="3150"/>
              </w:tabs>
              <w:autoSpaceDE/>
              <w:autoSpaceDN/>
              <w:adjustRightInd/>
              <w:spacing w:after="120"/>
              <w:rPr>
                <w:rFonts w:eastAsia="Calibri"/>
                <w:b/>
                <w:sz w:val="18"/>
                <w:szCs w:val="20"/>
              </w:rPr>
            </w:pPr>
          </w:p>
        </w:tc>
        <w:tc>
          <w:tcPr>
            <w:tcW w:w="1350" w:type="dxa"/>
            <w:vMerge/>
            <w:vAlign w:val="center"/>
          </w:tcPr>
          <w:p w14:paraId="5F61F552" w14:textId="77777777" w:rsidR="00044FA9" w:rsidRPr="004E72E6" w:rsidRDefault="00044FA9" w:rsidP="004D3659">
            <w:pPr>
              <w:widowControl/>
              <w:tabs>
                <w:tab w:val="left" w:pos="3150"/>
              </w:tabs>
              <w:autoSpaceDE/>
              <w:autoSpaceDN/>
              <w:adjustRightInd/>
              <w:spacing w:after="120"/>
              <w:rPr>
                <w:rFonts w:eastAsia="Calibri"/>
                <w:b/>
                <w:sz w:val="18"/>
                <w:szCs w:val="18"/>
              </w:rPr>
            </w:pPr>
          </w:p>
        </w:tc>
      </w:tr>
      <w:tr w:rsidR="00044FA9" w:rsidRPr="007A4B19" w14:paraId="216E160B" w14:textId="77777777" w:rsidTr="0014363D">
        <w:trPr>
          <w:cantSplit/>
          <w:jc w:val="center"/>
        </w:trPr>
        <w:tc>
          <w:tcPr>
            <w:tcW w:w="2875" w:type="dxa"/>
            <w:vMerge/>
          </w:tcPr>
          <w:p w14:paraId="33F1B03B" w14:textId="77777777" w:rsidR="00044FA9" w:rsidRPr="004E72E6" w:rsidRDefault="00044FA9" w:rsidP="004D3659">
            <w:pPr>
              <w:widowControl/>
              <w:tabs>
                <w:tab w:val="left" w:pos="3150"/>
              </w:tabs>
              <w:autoSpaceDE/>
              <w:autoSpaceDN/>
              <w:adjustRightInd/>
              <w:spacing w:after="120"/>
              <w:rPr>
                <w:rFonts w:eastAsia="Calibri"/>
                <w:b/>
                <w:sz w:val="18"/>
                <w:szCs w:val="18"/>
              </w:rPr>
            </w:pPr>
          </w:p>
        </w:tc>
        <w:tc>
          <w:tcPr>
            <w:tcW w:w="5760" w:type="dxa"/>
            <w:vAlign w:val="center"/>
          </w:tcPr>
          <w:p w14:paraId="5A02A8B0" w14:textId="77777777" w:rsidR="00044FA9" w:rsidRPr="00C510B5" w:rsidRDefault="00044FA9" w:rsidP="000567A5">
            <w:pPr>
              <w:pStyle w:val="ListParagraph"/>
              <w:widowControl/>
              <w:numPr>
                <w:ilvl w:val="0"/>
                <w:numId w:val="49"/>
              </w:numPr>
              <w:autoSpaceDE/>
              <w:autoSpaceDN/>
              <w:adjustRightInd/>
              <w:jc w:val="left"/>
              <w:rPr>
                <w:color w:val="000000"/>
                <w:sz w:val="18"/>
                <w:szCs w:val="20"/>
              </w:rPr>
            </w:pPr>
            <w:r w:rsidRPr="00C510B5">
              <w:rPr>
                <w:color w:val="000000"/>
                <w:sz w:val="18"/>
                <w:szCs w:val="20"/>
              </w:rPr>
              <w:t>Management and Operations</w:t>
            </w:r>
          </w:p>
        </w:tc>
        <w:tc>
          <w:tcPr>
            <w:tcW w:w="540" w:type="dxa"/>
            <w:vMerge/>
          </w:tcPr>
          <w:p w14:paraId="330E5F4D" w14:textId="77777777" w:rsidR="00044FA9" w:rsidRPr="00C510B5" w:rsidRDefault="00044FA9" w:rsidP="004D3659">
            <w:pPr>
              <w:widowControl/>
              <w:tabs>
                <w:tab w:val="left" w:pos="3150"/>
              </w:tabs>
              <w:autoSpaceDE/>
              <w:autoSpaceDN/>
              <w:adjustRightInd/>
              <w:spacing w:after="120"/>
              <w:rPr>
                <w:rFonts w:eastAsia="Calibri"/>
                <w:b/>
                <w:sz w:val="18"/>
                <w:szCs w:val="20"/>
              </w:rPr>
            </w:pPr>
          </w:p>
        </w:tc>
        <w:tc>
          <w:tcPr>
            <w:tcW w:w="1350" w:type="dxa"/>
            <w:vMerge/>
            <w:vAlign w:val="center"/>
          </w:tcPr>
          <w:p w14:paraId="496ACE03" w14:textId="77777777" w:rsidR="00044FA9" w:rsidRPr="004E72E6" w:rsidRDefault="00044FA9" w:rsidP="004D3659">
            <w:pPr>
              <w:widowControl/>
              <w:tabs>
                <w:tab w:val="left" w:pos="3150"/>
              </w:tabs>
              <w:autoSpaceDE/>
              <w:autoSpaceDN/>
              <w:adjustRightInd/>
              <w:spacing w:after="120"/>
              <w:rPr>
                <w:rFonts w:eastAsia="Calibri"/>
                <w:b/>
                <w:sz w:val="18"/>
                <w:szCs w:val="18"/>
              </w:rPr>
            </w:pPr>
          </w:p>
        </w:tc>
      </w:tr>
      <w:tr w:rsidR="00503779" w:rsidRPr="007A4B19" w14:paraId="2E9D6371" w14:textId="77777777" w:rsidTr="0014363D">
        <w:trPr>
          <w:cantSplit/>
          <w:trHeight w:val="260"/>
          <w:jc w:val="center"/>
        </w:trPr>
        <w:tc>
          <w:tcPr>
            <w:tcW w:w="2875" w:type="dxa"/>
            <w:vMerge/>
          </w:tcPr>
          <w:p w14:paraId="323275FC" w14:textId="77777777" w:rsidR="00503779" w:rsidRPr="004E72E6" w:rsidRDefault="00503779" w:rsidP="004D3659">
            <w:pPr>
              <w:widowControl/>
              <w:tabs>
                <w:tab w:val="left" w:pos="3150"/>
              </w:tabs>
              <w:autoSpaceDE/>
              <w:autoSpaceDN/>
              <w:adjustRightInd/>
              <w:spacing w:after="120"/>
              <w:rPr>
                <w:rFonts w:eastAsia="Calibri"/>
                <w:b/>
                <w:sz w:val="18"/>
                <w:szCs w:val="18"/>
              </w:rPr>
            </w:pPr>
          </w:p>
        </w:tc>
        <w:tc>
          <w:tcPr>
            <w:tcW w:w="5760" w:type="dxa"/>
            <w:vAlign w:val="center"/>
          </w:tcPr>
          <w:p w14:paraId="54E5214F" w14:textId="46EFFF3A" w:rsidR="00503779" w:rsidRPr="00C510B5" w:rsidRDefault="003A741F" w:rsidP="000567A5">
            <w:pPr>
              <w:pStyle w:val="ListParagraph"/>
              <w:widowControl/>
              <w:numPr>
                <w:ilvl w:val="0"/>
                <w:numId w:val="49"/>
              </w:numPr>
              <w:autoSpaceDE/>
              <w:autoSpaceDN/>
              <w:adjustRightInd/>
              <w:jc w:val="left"/>
              <w:rPr>
                <w:color w:val="000000"/>
                <w:sz w:val="18"/>
                <w:szCs w:val="20"/>
              </w:rPr>
            </w:pPr>
            <w:r>
              <w:rPr>
                <w:color w:val="000000"/>
                <w:sz w:val="18"/>
                <w:szCs w:val="20"/>
              </w:rPr>
              <w:t>EIS Pricer</w:t>
            </w:r>
          </w:p>
        </w:tc>
        <w:tc>
          <w:tcPr>
            <w:tcW w:w="540" w:type="dxa"/>
            <w:vMerge/>
          </w:tcPr>
          <w:p w14:paraId="753BA897" w14:textId="77777777" w:rsidR="00503779" w:rsidRPr="00C510B5" w:rsidRDefault="00503779" w:rsidP="004D3659">
            <w:pPr>
              <w:widowControl/>
              <w:tabs>
                <w:tab w:val="left" w:pos="3150"/>
              </w:tabs>
              <w:autoSpaceDE/>
              <w:autoSpaceDN/>
              <w:adjustRightInd/>
              <w:spacing w:after="120"/>
              <w:rPr>
                <w:rFonts w:eastAsia="Calibri"/>
                <w:b/>
                <w:sz w:val="18"/>
                <w:szCs w:val="20"/>
              </w:rPr>
            </w:pPr>
          </w:p>
        </w:tc>
        <w:tc>
          <w:tcPr>
            <w:tcW w:w="1350" w:type="dxa"/>
            <w:vMerge/>
            <w:vAlign w:val="center"/>
          </w:tcPr>
          <w:p w14:paraId="0CBFA158" w14:textId="77777777" w:rsidR="00503779" w:rsidRPr="004E72E6" w:rsidRDefault="00503779" w:rsidP="004D3659">
            <w:pPr>
              <w:widowControl/>
              <w:tabs>
                <w:tab w:val="left" w:pos="3150"/>
              </w:tabs>
              <w:autoSpaceDE/>
              <w:autoSpaceDN/>
              <w:adjustRightInd/>
              <w:spacing w:after="120"/>
              <w:rPr>
                <w:rFonts w:eastAsia="Calibri"/>
                <w:b/>
                <w:sz w:val="18"/>
                <w:szCs w:val="18"/>
              </w:rPr>
            </w:pPr>
          </w:p>
        </w:tc>
      </w:tr>
      <w:tr w:rsidR="00503779" w:rsidRPr="007A4B19" w14:paraId="67586ACD" w14:textId="77777777" w:rsidTr="0014363D">
        <w:trPr>
          <w:cantSplit/>
          <w:trHeight w:val="260"/>
          <w:jc w:val="center"/>
        </w:trPr>
        <w:tc>
          <w:tcPr>
            <w:tcW w:w="2875" w:type="dxa"/>
            <w:vMerge/>
          </w:tcPr>
          <w:p w14:paraId="66FCC1E9" w14:textId="77777777" w:rsidR="00503779" w:rsidRPr="004E72E6" w:rsidRDefault="00503779" w:rsidP="004D3659">
            <w:pPr>
              <w:widowControl/>
              <w:tabs>
                <w:tab w:val="left" w:pos="3150"/>
              </w:tabs>
              <w:autoSpaceDE/>
              <w:autoSpaceDN/>
              <w:adjustRightInd/>
              <w:spacing w:after="120"/>
              <w:rPr>
                <w:rFonts w:eastAsia="Calibri"/>
                <w:b/>
                <w:sz w:val="18"/>
                <w:szCs w:val="18"/>
              </w:rPr>
            </w:pPr>
          </w:p>
        </w:tc>
        <w:tc>
          <w:tcPr>
            <w:tcW w:w="5760" w:type="dxa"/>
            <w:vAlign w:val="center"/>
          </w:tcPr>
          <w:p w14:paraId="09A7FC03" w14:textId="46E62351" w:rsidR="00503779" w:rsidRPr="00C510B5" w:rsidRDefault="003A741F" w:rsidP="000567A5">
            <w:pPr>
              <w:pStyle w:val="ListParagraph"/>
              <w:widowControl/>
              <w:numPr>
                <w:ilvl w:val="0"/>
                <w:numId w:val="49"/>
              </w:numPr>
              <w:autoSpaceDE/>
              <w:autoSpaceDN/>
              <w:adjustRightInd/>
              <w:jc w:val="left"/>
              <w:rPr>
                <w:color w:val="000000"/>
                <w:sz w:val="18"/>
                <w:szCs w:val="20"/>
              </w:rPr>
            </w:pPr>
            <w:r>
              <w:rPr>
                <w:color w:val="000000"/>
                <w:sz w:val="18"/>
                <w:szCs w:val="20"/>
              </w:rPr>
              <w:t>Introduction to GSA Conexus</w:t>
            </w:r>
          </w:p>
        </w:tc>
        <w:tc>
          <w:tcPr>
            <w:tcW w:w="540" w:type="dxa"/>
            <w:vMerge/>
          </w:tcPr>
          <w:p w14:paraId="0C7BB5F1" w14:textId="77777777" w:rsidR="00503779" w:rsidRPr="00C510B5" w:rsidRDefault="00503779" w:rsidP="004D3659">
            <w:pPr>
              <w:widowControl/>
              <w:tabs>
                <w:tab w:val="left" w:pos="3150"/>
              </w:tabs>
              <w:autoSpaceDE/>
              <w:autoSpaceDN/>
              <w:adjustRightInd/>
              <w:spacing w:after="120"/>
              <w:rPr>
                <w:rFonts w:eastAsia="Calibri"/>
                <w:b/>
                <w:sz w:val="18"/>
                <w:szCs w:val="20"/>
              </w:rPr>
            </w:pPr>
          </w:p>
        </w:tc>
        <w:tc>
          <w:tcPr>
            <w:tcW w:w="1350" w:type="dxa"/>
            <w:vMerge/>
            <w:vAlign w:val="center"/>
          </w:tcPr>
          <w:p w14:paraId="00FF9088" w14:textId="77777777" w:rsidR="00503779" w:rsidRPr="004E72E6" w:rsidRDefault="00503779" w:rsidP="004D3659">
            <w:pPr>
              <w:widowControl/>
              <w:tabs>
                <w:tab w:val="left" w:pos="3150"/>
              </w:tabs>
              <w:autoSpaceDE/>
              <w:autoSpaceDN/>
              <w:adjustRightInd/>
              <w:spacing w:after="120"/>
              <w:rPr>
                <w:rFonts w:eastAsia="Calibri"/>
                <w:b/>
                <w:sz w:val="18"/>
                <w:szCs w:val="18"/>
              </w:rPr>
            </w:pPr>
          </w:p>
        </w:tc>
      </w:tr>
      <w:tr w:rsidR="00044FA9" w:rsidRPr="007A4B19" w14:paraId="1D926FD8" w14:textId="77777777" w:rsidTr="0014363D">
        <w:trPr>
          <w:cantSplit/>
          <w:trHeight w:val="260"/>
          <w:jc w:val="center"/>
        </w:trPr>
        <w:tc>
          <w:tcPr>
            <w:tcW w:w="2875" w:type="dxa"/>
            <w:vMerge/>
          </w:tcPr>
          <w:p w14:paraId="68398CFD" w14:textId="77777777" w:rsidR="00044FA9" w:rsidRPr="004E72E6" w:rsidRDefault="00044FA9" w:rsidP="004D3659">
            <w:pPr>
              <w:widowControl/>
              <w:tabs>
                <w:tab w:val="left" w:pos="3150"/>
              </w:tabs>
              <w:autoSpaceDE/>
              <w:autoSpaceDN/>
              <w:adjustRightInd/>
              <w:spacing w:after="120"/>
              <w:rPr>
                <w:rFonts w:eastAsia="Calibri"/>
                <w:b/>
                <w:sz w:val="18"/>
                <w:szCs w:val="18"/>
              </w:rPr>
            </w:pPr>
          </w:p>
        </w:tc>
        <w:tc>
          <w:tcPr>
            <w:tcW w:w="5760" w:type="dxa"/>
            <w:vAlign w:val="center"/>
          </w:tcPr>
          <w:p w14:paraId="02E2C2AB" w14:textId="3551BDE6" w:rsidR="00044FA9" w:rsidRPr="00C510B5" w:rsidRDefault="00044FA9" w:rsidP="000567A5">
            <w:pPr>
              <w:pStyle w:val="ListParagraph"/>
              <w:widowControl/>
              <w:numPr>
                <w:ilvl w:val="0"/>
                <w:numId w:val="49"/>
              </w:numPr>
              <w:autoSpaceDE/>
              <w:autoSpaceDN/>
              <w:adjustRightInd/>
              <w:jc w:val="left"/>
              <w:rPr>
                <w:color w:val="000000"/>
                <w:sz w:val="18"/>
                <w:szCs w:val="20"/>
              </w:rPr>
            </w:pPr>
            <w:r w:rsidRPr="00C510B5">
              <w:rPr>
                <w:color w:val="000000"/>
                <w:sz w:val="18"/>
                <w:szCs w:val="20"/>
              </w:rPr>
              <w:t>Telecom 101 and EIS Pricing and Structure</w:t>
            </w:r>
            <w:r w:rsidR="00DC185B">
              <w:rPr>
                <w:color w:val="000000"/>
                <w:sz w:val="18"/>
                <w:szCs w:val="20"/>
              </w:rPr>
              <w:t>s</w:t>
            </w:r>
          </w:p>
        </w:tc>
        <w:tc>
          <w:tcPr>
            <w:tcW w:w="540" w:type="dxa"/>
            <w:vMerge/>
          </w:tcPr>
          <w:p w14:paraId="5052DE28" w14:textId="77777777" w:rsidR="00044FA9" w:rsidRPr="00C510B5" w:rsidRDefault="00044FA9" w:rsidP="004D3659">
            <w:pPr>
              <w:widowControl/>
              <w:tabs>
                <w:tab w:val="left" w:pos="3150"/>
              </w:tabs>
              <w:autoSpaceDE/>
              <w:autoSpaceDN/>
              <w:adjustRightInd/>
              <w:spacing w:after="120"/>
              <w:rPr>
                <w:rFonts w:eastAsia="Calibri"/>
                <w:b/>
                <w:sz w:val="18"/>
                <w:szCs w:val="20"/>
              </w:rPr>
            </w:pPr>
          </w:p>
        </w:tc>
        <w:tc>
          <w:tcPr>
            <w:tcW w:w="1350" w:type="dxa"/>
            <w:vMerge/>
            <w:vAlign w:val="center"/>
          </w:tcPr>
          <w:p w14:paraId="16217BAE" w14:textId="77777777" w:rsidR="00044FA9" w:rsidRPr="004E72E6" w:rsidRDefault="00044FA9" w:rsidP="004D3659">
            <w:pPr>
              <w:widowControl/>
              <w:tabs>
                <w:tab w:val="left" w:pos="3150"/>
              </w:tabs>
              <w:autoSpaceDE/>
              <w:autoSpaceDN/>
              <w:adjustRightInd/>
              <w:spacing w:after="120"/>
              <w:rPr>
                <w:rFonts w:eastAsia="Calibri"/>
                <w:b/>
                <w:sz w:val="18"/>
                <w:szCs w:val="18"/>
              </w:rPr>
            </w:pPr>
          </w:p>
        </w:tc>
      </w:tr>
      <w:tr w:rsidR="00044FA9" w:rsidRPr="007A4B19" w14:paraId="6AD7C63D" w14:textId="77777777" w:rsidTr="0014363D">
        <w:trPr>
          <w:cantSplit/>
          <w:trHeight w:val="260"/>
          <w:jc w:val="center"/>
        </w:trPr>
        <w:tc>
          <w:tcPr>
            <w:tcW w:w="2875" w:type="dxa"/>
            <w:vMerge/>
          </w:tcPr>
          <w:p w14:paraId="15D97CB3" w14:textId="77777777" w:rsidR="00044FA9" w:rsidRPr="004E72E6" w:rsidRDefault="00044FA9" w:rsidP="004D3659">
            <w:pPr>
              <w:widowControl/>
              <w:tabs>
                <w:tab w:val="left" w:pos="3150"/>
              </w:tabs>
              <w:autoSpaceDE/>
              <w:autoSpaceDN/>
              <w:adjustRightInd/>
              <w:spacing w:after="120"/>
              <w:rPr>
                <w:rFonts w:eastAsia="Calibri"/>
                <w:b/>
                <w:sz w:val="18"/>
                <w:szCs w:val="18"/>
              </w:rPr>
            </w:pPr>
          </w:p>
        </w:tc>
        <w:tc>
          <w:tcPr>
            <w:tcW w:w="5760" w:type="dxa"/>
            <w:vAlign w:val="center"/>
          </w:tcPr>
          <w:p w14:paraId="5391A097" w14:textId="14431452" w:rsidR="00044FA9" w:rsidRPr="00C510B5" w:rsidRDefault="00044FA9" w:rsidP="000567A5">
            <w:pPr>
              <w:pStyle w:val="ListParagraph"/>
              <w:widowControl/>
              <w:numPr>
                <w:ilvl w:val="0"/>
                <w:numId w:val="49"/>
              </w:numPr>
              <w:autoSpaceDE/>
              <w:autoSpaceDN/>
              <w:adjustRightInd/>
              <w:jc w:val="left"/>
              <w:rPr>
                <w:color w:val="000000"/>
                <w:sz w:val="18"/>
                <w:szCs w:val="20"/>
              </w:rPr>
            </w:pPr>
            <w:r w:rsidRPr="00C510B5">
              <w:rPr>
                <w:color w:val="000000"/>
                <w:sz w:val="18"/>
                <w:szCs w:val="20"/>
              </w:rPr>
              <w:t>D</w:t>
            </w:r>
            <w:r w:rsidR="00DD61B7">
              <w:rPr>
                <w:color w:val="000000"/>
                <w:sz w:val="18"/>
                <w:szCs w:val="20"/>
              </w:rPr>
              <w:t>elegation of Procurement Authority</w:t>
            </w:r>
          </w:p>
        </w:tc>
        <w:tc>
          <w:tcPr>
            <w:tcW w:w="540" w:type="dxa"/>
            <w:vMerge/>
          </w:tcPr>
          <w:p w14:paraId="14CA983A" w14:textId="77777777" w:rsidR="00044FA9" w:rsidRPr="00C510B5" w:rsidRDefault="00044FA9" w:rsidP="004D3659">
            <w:pPr>
              <w:widowControl/>
              <w:tabs>
                <w:tab w:val="left" w:pos="3150"/>
              </w:tabs>
              <w:autoSpaceDE/>
              <w:autoSpaceDN/>
              <w:adjustRightInd/>
              <w:spacing w:after="120"/>
              <w:rPr>
                <w:rFonts w:eastAsia="Calibri"/>
                <w:b/>
                <w:sz w:val="18"/>
                <w:szCs w:val="20"/>
              </w:rPr>
            </w:pPr>
          </w:p>
        </w:tc>
        <w:tc>
          <w:tcPr>
            <w:tcW w:w="1350" w:type="dxa"/>
            <w:vMerge/>
            <w:vAlign w:val="center"/>
          </w:tcPr>
          <w:p w14:paraId="3B3E949B" w14:textId="77777777" w:rsidR="00044FA9" w:rsidRPr="004E72E6" w:rsidRDefault="00044FA9" w:rsidP="004D3659">
            <w:pPr>
              <w:widowControl/>
              <w:tabs>
                <w:tab w:val="left" w:pos="3150"/>
              </w:tabs>
              <w:autoSpaceDE/>
              <w:autoSpaceDN/>
              <w:adjustRightInd/>
              <w:spacing w:after="120"/>
              <w:rPr>
                <w:rFonts w:eastAsia="Calibri"/>
                <w:b/>
                <w:sz w:val="18"/>
                <w:szCs w:val="18"/>
              </w:rPr>
            </w:pPr>
          </w:p>
        </w:tc>
      </w:tr>
      <w:tr w:rsidR="00044FA9" w:rsidRPr="007A4B19" w14:paraId="080C7563" w14:textId="77777777" w:rsidTr="004817B1">
        <w:trPr>
          <w:cantSplit/>
          <w:trHeight w:val="260"/>
          <w:jc w:val="center"/>
        </w:trPr>
        <w:tc>
          <w:tcPr>
            <w:tcW w:w="2875" w:type="dxa"/>
            <w:vMerge/>
          </w:tcPr>
          <w:p w14:paraId="491D872E" w14:textId="77777777" w:rsidR="00044FA9" w:rsidRPr="004E72E6" w:rsidRDefault="00044FA9" w:rsidP="004D3659">
            <w:pPr>
              <w:widowControl/>
              <w:tabs>
                <w:tab w:val="left" w:pos="3150"/>
              </w:tabs>
              <w:autoSpaceDE/>
              <w:autoSpaceDN/>
              <w:adjustRightInd/>
              <w:spacing w:after="120"/>
              <w:rPr>
                <w:rFonts w:eastAsia="Calibri"/>
                <w:b/>
                <w:sz w:val="18"/>
                <w:szCs w:val="18"/>
              </w:rPr>
            </w:pPr>
          </w:p>
        </w:tc>
        <w:tc>
          <w:tcPr>
            <w:tcW w:w="5760" w:type="dxa"/>
            <w:shd w:val="clear" w:color="auto" w:fill="auto"/>
            <w:vAlign w:val="center"/>
          </w:tcPr>
          <w:p w14:paraId="0CD7CA4D" w14:textId="60FFFF80" w:rsidR="00044FA9" w:rsidRPr="00C510B5" w:rsidRDefault="00044FA9" w:rsidP="000567A5">
            <w:pPr>
              <w:pStyle w:val="ListParagraph"/>
              <w:widowControl/>
              <w:numPr>
                <w:ilvl w:val="0"/>
                <w:numId w:val="49"/>
              </w:numPr>
              <w:autoSpaceDE/>
              <w:autoSpaceDN/>
              <w:adjustRightInd/>
              <w:jc w:val="left"/>
              <w:rPr>
                <w:color w:val="000000"/>
                <w:sz w:val="18"/>
                <w:szCs w:val="20"/>
              </w:rPr>
            </w:pPr>
            <w:r>
              <w:rPr>
                <w:color w:val="000000"/>
                <w:sz w:val="18"/>
                <w:szCs w:val="20"/>
              </w:rPr>
              <w:t>Solicitation Assist Tool</w:t>
            </w:r>
          </w:p>
        </w:tc>
        <w:tc>
          <w:tcPr>
            <w:tcW w:w="540" w:type="dxa"/>
            <w:vMerge/>
          </w:tcPr>
          <w:p w14:paraId="4D78B69A" w14:textId="77777777" w:rsidR="00044FA9" w:rsidRPr="00C510B5" w:rsidRDefault="00044FA9" w:rsidP="004D3659">
            <w:pPr>
              <w:widowControl/>
              <w:tabs>
                <w:tab w:val="left" w:pos="3150"/>
              </w:tabs>
              <w:autoSpaceDE/>
              <w:autoSpaceDN/>
              <w:adjustRightInd/>
              <w:spacing w:after="120"/>
              <w:rPr>
                <w:rFonts w:eastAsia="Calibri"/>
                <w:b/>
                <w:sz w:val="18"/>
                <w:szCs w:val="20"/>
              </w:rPr>
            </w:pPr>
          </w:p>
        </w:tc>
        <w:tc>
          <w:tcPr>
            <w:tcW w:w="1350" w:type="dxa"/>
            <w:vMerge/>
            <w:vAlign w:val="center"/>
          </w:tcPr>
          <w:p w14:paraId="2B02087D" w14:textId="77777777" w:rsidR="00044FA9" w:rsidRPr="00557C49" w:rsidRDefault="00044FA9" w:rsidP="004D3659">
            <w:pPr>
              <w:widowControl/>
              <w:tabs>
                <w:tab w:val="left" w:pos="3150"/>
              </w:tabs>
              <w:autoSpaceDE/>
              <w:autoSpaceDN/>
              <w:adjustRightInd/>
              <w:spacing w:after="120"/>
              <w:rPr>
                <w:rFonts w:eastAsia="Calibri"/>
                <w:b/>
                <w:sz w:val="18"/>
                <w:szCs w:val="18"/>
              </w:rPr>
            </w:pPr>
          </w:p>
        </w:tc>
      </w:tr>
      <w:tr w:rsidR="004F55E8" w:rsidRPr="007A4B19" w14:paraId="33D93BA4" w14:textId="77777777" w:rsidTr="0014363D">
        <w:trPr>
          <w:cantSplit/>
          <w:trHeight w:val="305"/>
          <w:jc w:val="center"/>
        </w:trPr>
        <w:tc>
          <w:tcPr>
            <w:tcW w:w="2875" w:type="dxa"/>
            <w:vMerge w:val="restart"/>
            <w:shd w:val="clear" w:color="auto" w:fill="DBE5F1" w:themeFill="accent1" w:themeFillTint="33"/>
            <w:vAlign w:val="center"/>
          </w:tcPr>
          <w:p w14:paraId="72DCFA62" w14:textId="77777777" w:rsidR="004A493A" w:rsidRPr="00E436C5" w:rsidRDefault="004A493A" w:rsidP="004D3659">
            <w:pPr>
              <w:widowControl/>
              <w:tabs>
                <w:tab w:val="left" w:pos="3150"/>
              </w:tabs>
              <w:autoSpaceDE/>
              <w:autoSpaceDN/>
              <w:adjustRightInd/>
              <w:spacing w:after="120"/>
              <w:jc w:val="left"/>
              <w:rPr>
                <w:rFonts w:eastAsia="Calibri"/>
                <w:sz w:val="18"/>
              </w:rPr>
            </w:pPr>
            <w:r w:rsidRPr="00E436C5">
              <w:rPr>
                <w:rFonts w:eastAsia="Calibri"/>
                <w:sz w:val="18"/>
              </w:rPr>
              <w:t>Develop Agency Transition Plan (ATP)</w:t>
            </w:r>
          </w:p>
        </w:tc>
        <w:tc>
          <w:tcPr>
            <w:tcW w:w="5760" w:type="dxa"/>
            <w:shd w:val="clear" w:color="auto" w:fill="DBE5F1" w:themeFill="accent1" w:themeFillTint="33"/>
            <w:vAlign w:val="center"/>
          </w:tcPr>
          <w:p w14:paraId="227E74EB" w14:textId="77777777" w:rsidR="004A493A" w:rsidRPr="00E436C5" w:rsidRDefault="004A493A" w:rsidP="000567A5">
            <w:pPr>
              <w:pStyle w:val="ListParagraph"/>
              <w:widowControl/>
              <w:numPr>
                <w:ilvl w:val="0"/>
                <w:numId w:val="48"/>
              </w:numPr>
              <w:autoSpaceDE/>
              <w:autoSpaceDN/>
              <w:adjustRightInd/>
              <w:jc w:val="left"/>
              <w:rPr>
                <w:color w:val="000000"/>
                <w:sz w:val="18"/>
              </w:rPr>
            </w:pPr>
            <w:r w:rsidRPr="00E436C5">
              <w:rPr>
                <w:color w:val="000000"/>
                <w:sz w:val="18"/>
              </w:rPr>
              <w:t>Department level</w:t>
            </w:r>
          </w:p>
        </w:tc>
        <w:sdt>
          <w:sdtPr>
            <w:rPr>
              <w:rFonts w:ascii="Segoe UI Symbol" w:eastAsia="MS Gothic" w:hAnsi="Segoe UI Symbol" w:cs="Segoe UI Symbol"/>
              <w:sz w:val="20"/>
              <w:szCs w:val="20"/>
            </w:rPr>
            <w:id w:val="-1410082005"/>
            <w14:checkbox>
              <w14:checked w14:val="0"/>
              <w14:checkedState w14:val="00FE" w14:font="Wingdings"/>
              <w14:uncheckedState w14:val="2610" w14:font="MS Gothic"/>
            </w14:checkbox>
          </w:sdtPr>
          <w:sdtEndPr/>
          <w:sdtContent>
            <w:tc>
              <w:tcPr>
                <w:tcW w:w="540" w:type="dxa"/>
                <w:vMerge w:val="restart"/>
                <w:shd w:val="clear" w:color="auto" w:fill="DBE5F1" w:themeFill="accent1" w:themeFillTint="33"/>
                <w:vAlign w:val="center"/>
              </w:tcPr>
              <w:p w14:paraId="685823D3" w14:textId="783998C7" w:rsidR="004A493A" w:rsidRPr="00A23B3F" w:rsidRDefault="000B708C" w:rsidP="004D3659">
                <w:pPr>
                  <w:widowControl/>
                  <w:tabs>
                    <w:tab w:val="left" w:pos="3150"/>
                  </w:tabs>
                  <w:autoSpaceDE/>
                  <w:autoSpaceDN/>
                  <w:adjustRightInd/>
                  <w:spacing w:after="120"/>
                  <w:jc w:val="center"/>
                  <w:rPr>
                    <w:rFonts w:eastAsia="Calibri"/>
                    <w:b/>
                    <w:sz w:val="20"/>
                    <w:szCs w:val="20"/>
                  </w:rPr>
                </w:pPr>
                <w:r w:rsidRPr="00A23B3F">
                  <w:rPr>
                    <w:rFonts w:ascii="Segoe UI Symbol" w:eastAsia="MS Gothic" w:hAnsi="Segoe UI Symbol" w:cs="Segoe UI Symbol"/>
                    <w:sz w:val="20"/>
                    <w:szCs w:val="20"/>
                  </w:rPr>
                  <w:t>☐</w:t>
                </w:r>
              </w:p>
            </w:tc>
          </w:sdtContent>
        </w:sdt>
        <w:tc>
          <w:tcPr>
            <w:tcW w:w="1350" w:type="dxa"/>
            <w:vMerge w:val="restart"/>
            <w:shd w:val="clear" w:color="auto" w:fill="DBE5F1" w:themeFill="accent1" w:themeFillTint="33"/>
            <w:vAlign w:val="center"/>
          </w:tcPr>
          <w:p w14:paraId="1863484C" w14:textId="77777777" w:rsidR="004A493A" w:rsidRPr="00E436C5" w:rsidRDefault="004A493A" w:rsidP="00FC514D">
            <w:pPr>
              <w:widowControl/>
              <w:tabs>
                <w:tab w:val="left" w:pos="3150"/>
              </w:tabs>
              <w:autoSpaceDE/>
              <w:autoSpaceDN/>
              <w:adjustRightInd/>
              <w:spacing w:after="120"/>
              <w:jc w:val="center"/>
              <w:rPr>
                <w:rFonts w:eastAsia="Calibri"/>
                <w:sz w:val="18"/>
              </w:rPr>
            </w:pPr>
            <w:r w:rsidRPr="00E436C5">
              <w:rPr>
                <w:rFonts w:eastAsia="Calibri"/>
                <w:sz w:val="18"/>
              </w:rPr>
              <w:t>Oct 2016 (</w:t>
            </w:r>
            <w:r w:rsidR="00250499" w:rsidRPr="00E436C5">
              <w:rPr>
                <w:rFonts w:eastAsia="Calibri"/>
                <w:sz w:val="18"/>
              </w:rPr>
              <w:t>initial</w:t>
            </w:r>
            <w:r w:rsidRPr="00E436C5">
              <w:rPr>
                <w:rFonts w:eastAsia="Calibri"/>
                <w:sz w:val="18"/>
              </w:rPr>
              <w:t>) update as appropriate</w:t>
            </w:r>
          </w:p>
        </w:tc>
      </w:tr>
      <w:tr w:rsidR="004F55E8" w:rsidRPr="007A4B19" w14:paraId="5C637EAD" w14:textId="77777777" w:rsidTr="0014363D">
        <w:trPr>
          <w:cantSplit/>
          <w:trHeight w:val="260"/>
          <w:jc w:val="center"/>
        </w:trPr>
        <w:tc>
          <w:tcPr>
            <w:tcW w:w="2875" w:type="dxa"/>
            <w:vMerge/>
            <w:shd w:val="clear" w:color="auto" w:fill="DBE5F1" w:themeFill="accent1" w:themeFillTint="33"/>
          </w:tcPr>
          <w:p w14:paraId="2FD1C69D" w14:textId="77777777" w:rsidR="004A493A" w:rsidRPr="00C510B5" w:rsidRDefault="004A493A" w:rsidP="004D3659">
            <w:pPr>
              <w:widowControl/>
              <w:tabs>
                <w:tab w:val="left" w:pos="3150"/>
              </w:tabs>
              <w:autoSpaceDE/>
              <w:autoSpaceDN/>
              <w:adjustRightInd/>
              <w:spacing w:after="120"/>
              <w:rPr>
                <w:rFonts w:eastAsia="Calibri"/>
                <w:b/>
                <w:sz w:val="18"/>
                <w:szCs w:val="20"/>
              </w:rPr>
            </w:pPr>
          </w:p>
        </w:tc>
        <w:tc>
          <w:tcPr>
            <w:tcW w:w="5760" w:type="dxa"/>
            <w:shd w:val="clear" w:color="auto" w:fill="DBE5F1" w:themeFill="accent1" w:themeFillTint="33"/>
            <w:vAlign w:val="center"/>
          </w:tcPr>
          <w:p w14:paraId="1DBD4C2E" w14:textId="1C294AB7" w:rsidR="004A493A" w:rsidRPr="00C510B5" w:rsidRDefault="004A493A" w:rsidP="000567A5">
            <w:pPr>
              <w:pStyle w:val="ListParagraph"/>
              <w:widowControl/>
              <w:numPr>
                <w:ilvl w:val="0"/>
                <w:numId w:val="48"/>
              </w:numPr>
              <w:autoSpaceDE/>
              <w:autoSpaceDN/>
              <w:adjustRightInd/>
              <w:jc w:val="left"/>
              <w:rPr>
                <w:color w:val="000000"/>
                <w:sz w:val="18"/>
                <w:szCs w:val="20"/>
              </w:rPr>
            </w:pPr>
            <w:r w:rsidRPr="00C510B5">
              <w:rPr>
                <w:color w:val="000000"/>
                <w:sz w:val="18"/>
                <w:szCs w:val="20"/>
              </w:rPr>
              <w:t xml:space="preserve">Determine number of </w:t>
            </w:r>
            <w:r w:rsidR="00BB5E06">
              <w:rPr>
                <w:color w:val="000000"/>
                <w:sz w:val="18"/>
                <w:szCs w:val="20"/>
              </w:rPr>
              <w:t>Fair Opportunity (</w:t>
            </w:r>
            <w:r w:rsidRPr="00C510B5">
              <w:rPr>
                <w:color w:val="000000"/>
                <w:sz w:val="18"/>
                <w:szCs w:val="20"/>
              </w:rPr>
              <w:t>FO</w:t>
            </w:r>
            <w:r w:rsidR="00BB5E06">
              <w:rPr>
                <w:color w:val="000000"/>
                <w:sz w:val="18"/>
                <w:szCs w:val="20"/>
              </w:rPr>
              <w:t>)</w:t>
            </w:r>
            <w:r w:rsidR="002C1CE8" w:rsidRPr="00C510B5">
              <w:rPr>
                <w:color w:val="000000"/>
                <w:sz w:val="18"/>
                <w:szCs w:val="20"/>
              </w:rPr>
              <w:t xml:space="preserve"> decision</w:t>
            </w:r>
            <w:r w:rsidRPr="00C510B5">
              <w:rPr>
                <w:color w:val="000000"/>
                <w:sz w:val="18"/>
                <w:szCs w:val="20"/>
              </w:rPr>
              <w:t>s</w:t>
            </w:r>
            <w:r w:rsidR="002C1CE8" w:rsidRPr="00C510B5">
              <w:rPr>
                <w:color w:val="000000"/>
                <w:sz w:val="18"/>
                <w:szCs w:val="20"/>
              </w:rPr>
              <w:t xml:space="preserve"> and expected release dates and task order award dates</w:t>
            </w:r>
          </w:p>
        </w:tc>
        <w:tc>
          <w:tcPr>
            <w:tcW w:w="540" w:type="dxa"/>
            <w:vMerge/>
            <w:shd w:val="clear" w:color="auto" w:fill="DBE5F1" w:themeFill="accent1" w:themeFillTint="33"/>
          </w:tcPr>
          <w:p w14:paraId="02203DB5" w14:textId="77777777" w:rsidR="004A493A" w:rsidRPr="00C510B5" w:rsidRDefault="004A493A" w:rsidP="004D3659">
            <w:pPr>
              <w:widowControl/>
              <w:tabs>
                <w:tab w:val="left" w:pos="3150"/>
              </w:tabs>
              <w:autoSpaceDE/>
              <w:autoSpaceDN/>
              <w:adjustRightInd/>
              <w:spacing w:after="120"/>
              <w:rPr>
                <w:rFonts w:eastAsia="Calibri"/>
                <w:b/>
                <w:sz w:val="18"/>
                <w:szCs w:val="20"/>
              </w:rPr>
            </w:pPr>
          </w:p>
        </w:tc>
        <w:tc>
          <w:tcPr>
            <w:tcW w:w="1350" w:type="dxa"/>
            <w:vMerge/>
            <w:shd w:val="clear" w:color="auto" w:fill="DBE5F1" w:themeFill="accent1" w:themeFillTint="33"/>
            <w:vAlign w:val="center"/>
          </w:tcPr>
          <w:p w14:paraId="29EBF6B0" w14:textId="77777777" w:rsidR="004A493A" w:rsidRPr="00C510B5" w:rsidRDefault="004A493A" w:rsidP="004D3659">
            <w:pPr>
              <w:widowControl/>
              <w:tabs>
                <w:tab w:val="left" w:pos="3150"/>
              </w:tabs>
              <w:autoSpaceDE/>
              <w:autoSpaceDN/>
              <w:adjustRightInd/>
              <w:spacing w:after="120"/>
              <w:rPr>
                <w:rFonts w:eastAsia="Calibri"/>
                <w:b/>
                <w:sz w:val="18"/>
                <w:szCs w:val="20"/>
              </w:rPr>
            </w:pPr>
          </w:p>
        </w:tc>
      </w:tr>
      <w:tr w:rsidR="004F55E8" w:rsidRPr="007A4B19" w14:paraId="5C9EBEC0" w14:textId="77777777" w:rsidTr="00A718A8">
        <w:trPr>
          <w:cantSplit/>
          <w:trHeight w:val="278"/>
          <w:jc w:val="center"/>
        </w:trPr>
        <w:tc>
          <w:tcPr>
            <w:tcW w:w="2875" w:type="dxa"/>
            <w:vMerge/>
            <w:shd w:val="clear" w:color="auto" w:fill="DBE5F1" w:themeFill="accent1" w:themeFillTint="33"/>
          </w:tcPr>
          <w:p w14:paraId="6FFFA14A" w14:textId="77777777" w:rsidR="004A493A" w:rsidRPr="00C510B5" w:rsidRDefault="004A493A" w:rsidP="004D3659">
            <w:pPr>
              <w:widowControl/>
              <w:tabs>
                <w:tab w:val="left" w:pos="3150"/>
              </w:tabs>
              <w:autoSpaceDE/>
              <w:autoSpaceDN/>
              <w:adjustRightInd/>
              <w:spacing w:after="120"/>
              <w:rPr>
                <w:rFonts w:eastAsia="Calibri"/>
                <w:b/>
                <w:sz w:val="18"/>
                <w:szCs w:val="20"/>
              </w:rPr>
            </w:pPr>
          </w:p>
        </w:tc>
        <w:tc>
          <w:tcPr>
            <w:tcW w:w="5760" w:type="dxa"/>
            <w:shd w:val="clear" w:color="auto" w:fill="DBE5F1" w:themeFill="accent1" w:themeFillTint="33"/>
            <w:vAlign w:val="center"/>
          </w:tcPr>
          <w:p w14:paraId="3CDB8A0C" w14:textId="77777777" w:rsidR="004A493A" w:rsidRPr="00C510B5" w:rsidRDefault="004A493A" w:rsidP="000567A5">
            <w:pPr>
              <w:pStyle w:val="ListParagraph"/>
              <w:widowControl/>
              <w:numPr>
                <w:ilvl w:val="0"/>
                <w:numId w:val="48"/>
              </w:numPr>
              <w:autoSpaceDE/>
              <w:autoSpaceDN/>
              <w:adjustRightInd/>
              <w:jc w:val="left"/>
              <w:rPr>
                <w:color w:val="000000"/>
                <w:sz w:val="18"/>
                <w:szCs w:val="20"/>
              </w:rPr>
            </w:pPr>
            <w:r w:rsidRPr="00C510B5">
              <w:rPr>
                <w:color w:val="000000"/>
                <w:sz w:val="18"/>
                <w:szCs w:val="20"/>
              </w:rPr>
              <w:t>Define transition budget plan, dependencies, risks</w:t>
            </w:r>
          </w:p>
        </w:tc>
        <w:tc>
          <w:tcPr>
            <w:tcW w:w="540" w:type="dxa"/>
            <w:vMerge/>
            <w:shd w:val="clear" w:color="auto" w:fill="DBE5F1" w:themeFill="accent1" w:themeFillTint="33"/>
          </w:tcPr>
          <w:p w14:paraId="4D4BB311" w14:textId="77777777" w:rsidR="004A493A" w:rsidRPr="00C510B5" w:rsidRDefault="004A493A" w:rsidP="004D3659">
            <w:pPr>
              <w:widowControl/>
              <w:tabs>
                <w:tab w:val="left" w:pos="3150"/>
              </w:tabs>
              <w:autoSpaceDE/>
              <w:autoSpaceDN/>
              <w:adjustRightInd/>
              <w:spacing w:after="120"/>
              <w:rPr>
                <w:rFonts w:eastAsia="Calibri"/>
                <w:b/>
                <w:sz w:val="18"/>
                <w:szCs w:val="20"/>
              </w:rPr>
            </w:pPr>
          </w:p>
        </w:tc>
        <w:tc>
          <w:tcPr>
            <w:tcW w:w="1350" w:type="dxa"/>
            <w:vMerge/>
            <w:shd w:val="clear" w:color="auto" w:fill="DBE5F1" w:themeFill="accent1" w:themeFillTint="33"/>
            <w:vAlign w:val="center"/>
          </w:tcPr>
          <w:p w14:paraId="6C2182AB" w14:textId="77777777" w:rsidR="004A493A" w:rsidRPr="00C510B5" w:rsidRDefault="004A493A" w:rsidP="004D3659">
            <w:pPr>
              <w:widowControl/>
              <w:tabs>
                <w:tab w:val="left" w:pos="3150"/>
              </w:tabs>
              <w:autoSpaceDE/>
              <w:autoSpaceDN/>
              <w:adjustRightInd/>
              <w:spacing w:after="120"/>
              <w:rPr>
                <w:rFonts w:eastAsia="Calibri"/>
                <w:b/>
                <w:sz w:val="18"/>
                <w:szCs w:val="20"/>
              </w:rPr>
            </w:pPr>
          </w:p>
        </w:tc>
      </w:tr>
      <w:tr w:rsidR="004F55E8" w:rsidRPr="007A4B19" w14:paraId="2FCBB1A5" w14:textId="77777777" w:rsidTr="0014363D">
        <w:trPr>
          <w:cantSplit/>
          <w:trHeight w:val="350"/>
          <w:jc w:val="center"/>
        </w:trPr>
        <w:tc>
          <w:tcPr>
            <w:tcW w:w="2875" w:type="dxa"/>
            <w:vMerge/>
            <w:shd w:val="clear" w:color="auto" w:fill="DBE5F1" w:themeFill="accent1" w:themeFillTint="33"/>
          </w:tcPr>
          <w:p w14:paraId="5108A37E" w14:textId="77777777" w:rsidR="004A493A" w:rsidRPr="00C510B5" w:rsidRDefault="004A493A" w:rsidP="004D3659">
            <w:pPr>
              <w:widowControl/>
              <w:tabs>
                <w:tab w:val="left" w:pos="3150"/>
              </w:tabs>
              <w:autoSpaceDE/>
              <w:autoSpaceDN/>
              <w:adjustRightInd/>
              <w:spacing w:after="120"/>
              <w:rPr>
                <w:rFonts w:eastAsia="Calibri"/>
                <w:b/>
                <w:sz w:val="18"/>
                <w:szCs w:val="20"/>
              </w:rPr>
            </w:pPr>
          </w:p>
        </w:tc>
        <w:tc>
          <w:tcPr>
            <w:tcW w:w="5760" w:type="dxa"/>
            <w:shd w:val="clear" w:color="auto" w:fill="DBE5F1" w:themeFill="accent1" w:themeFillTint="33"/>
            <w:vAlign w:val="center"/>
          </w:tcPr>
          <w:p w14:paraId="5374E726" w14:textId="77777777" w:rsidR="004A493A" w:rsidRPr="00C510B5" w:rsidRDefault="004A493A" w:rsidP="000567A5">
            <w:pPr>
              <w:pStyle w:val="ListParagraph"/>
              <w:widowControl/>
              <w:numPr>
                <w:ilvl w:val="0"/>
                <w:numId w:val="48"/>
              </w:numPr>
              <w:autoSpaceDE/>
              <w:autoSpaceDN/>
              <w:adjustRightInd/>
              <w:jc w:val="left"/>
              <w:rPr>
                <w:color w:val="000000"/>
                <w:sz w:val="18"/>
                <w:szCs w:val="20"/>
              </w:rPr>
            </w:pPr>
            <w:r w:rsidRPr="00C510B5">
              <w:rPr>
                <w:color w:val="000000"/>
                <w:sz w:val="18"/>
                <w:szCs w:val="20"/>
              </w:rPr>
              <w:t>State that inventory has been confirmed</w:t>
            </w:r>
          </w:p>
        </w:tc>
        <w:tc>
          <w:tcPr>
            <w:tcW w:w="540" w:type="dxa"/>
            <w:vMerge/>
            <w:shd w:val="clear" w:color="auto" w:fill="DBE5F1" w:themeFill="accent1" w:themeFillTint="33"/>
          </w:tcPr>
          <w:p w14:paraId="46D4767E" w14:textId="77777777" w:rsidR="004A493A" w:rsidRPr="00C510B5" w:rsidRDefault="004A493A" w:rsidP="004D3659">
            <w:pPr>
              <w:widowControl/>
              <w:tabs>
                <w:tab w:val="left" w:pos="3150"/>
              </w:tabs>
              <w:autoSpaceDE/>
              <w:autoSpaceDN/>
              <w:adjustRightInd/>
              <w:spacing w:after="120"/>
              <w:rPr>
                <w:rFonts w:eastAsia="Calibri"/>
                <w:b/>
                <w:sz w:val="18"/>
                <w:szCs w:val="20"/>
              </w:rPr>
            </w:pPr>
          </w:p>
        </w:tc>
        <w:tc>
          <w:tcPr>
            <w:tcW w:w="1350" w:type="dxa"/>
            <w:vMerge/>
            <w:shd w:val="clear" w:color="auto" w:fill="DBE5F1" w:themeFill="accent1" w:themeFillTint="33"/>
            <w:vAlign w:val="center"/>
          </w:tcPr>
          <w:p w14:paraId="5FD2A9DF" w14:textId="77777777" w:rsidR="004A493A" w:rsidRPr="00C510B5" w:rsidRDefault="004A493A" w:rsidP="004D3659">
            <w:pPr>
              <w:widowControl/>
              <w:tabs>
                <w:tab w:val="left" w:pos="3150"/>
              </w:tabs>
              <w:autoSpaceDE/>
              <w:autoSpaceDN/>
              <w:adjustRightInd/>
              <w:spacing w:after="120"/>
              <w:rPr>
                <w:rFonts w:eastAsia="Calibri"/>
                <w:b/>
                <w:sz w:val="18"/>
                <w:szCs w:val="20"/>
              </w:rPr>
            </w:pPr>
          </w:p>
        </w:tc>
      </w:tr>
      <w:tr w:rsidR="004F55E8" w:rsidRPr="007A4B19" w14:paraId="635B85B5" w14:textId="77777777" w:rsidTr="0014363D">
        <w:trPr>
          <w:cantSplit/>
          <w:trHeight w:val="530"/>
          <w:jc w:val="center"/>
        </w:trPr>
        <w:tc>
          <w:tcPr>
            <w:tcW w:w="2875" w:type="dxa"/>
            <w:vMerge/>
            <w:shd w:val="clear" w:color="auto" w:fill="DBE5F1" w:themeFill="accent1" w:themeFillTint="33"/>
          </w:tcPr>
          <w:p w14:paraId="346AD46B" w14:textId="77777777" w:rsidR="004A493A" w:rsidRPr="00C510B5" w:rsidRDefault="004A493A" w:rsidP="004D3659">
            <w:pPr>
              <w:widowControl/>
              <w:tabs>
                <w:tab w:val="left" w:pos="3150"/>
              </w:tabs>
              <w:autoSpaceDE/>
              <w:autoSpaceDN/>
              <w:adjustRightInd/>
              <w:spacing w:after="120"/>
              <w:rPr>
                <w:rFonts w:eastAsia="Calibri"/>
                <w:b/>
                <w:sz w:val="18"/>
                <w:szCs w:val="20"/>
              </w:rPr>
            </w:pPr>
          </w:p>
        </w:tc>
        <w:tc>
          <w:tcPr>
            <w:tcW w:w="5760" w:type="dxa"/>
            <w:shd w:val="clear" w:color="auto" w:fill="DBE5F1" w:themeFill="accent1" w:themeFillTint="33"/>
            <w:vAlign w:val="center"/>
          </w:tcPr>
          <w:p w14:paraId="0163DFAC" w14:textId="1BEEEDF5" w:rsidR="004A493A" w:rsidRPr="00C510B5" w:rsidRDefault="004A493A" w:rsidP="000567A5">
            <w:pPr>
              <w:pStyle w:val="ListParagraph"/>
              <w:widowControl/>
              <w:numPr>
                <w:ilvl w:val="0"/>
                <w:numId w:val="48"/>
              </w:numPr>
              <w:autoSpaceDE/>
              <w:autoSpaceDN/>
              <w:adjustRightInd/>
              <w:jc w:val="left"/>
              <w:rPr>
                <w:color w:val="000000"/>
                <w:sz w:val="18"/>
                <w:szCs w:val="20"/>
              </w:rPr>
            </w:pPr>
            <w:r w:rsidRPr="00C510B5">
              <w:rPr>
                <w:color w:val="000000"/>
                <w:sz w:val="18"/>
                <w:szCs w:val="20"/>
              </w:rPr>
              <w:t>Estimate human resource requirements and coordinate with agency staffing and training plans for FY 2016-</w:t>
            </w:r>
            <w:r w:rsidR="00BC0ADA" w:rsidRPr="00C510B5">
              <w:rPr>
                <w:color w:val="000000"/>
                <w:sz w:val="18"/>
                <w:szCs w:val="20"/>
              </w:rPr>
              <w:t>202</w:t>
            </w:r>
            <w:r w:rsidR="00BC0ADA">
              <w:rPr>
                <w:color w:val="000000"/>
                <w:sz w:val="18"/>
                <w:szCs w:val="20"/>
              </w:rPr>
              <w:t>3</w:t>
            </w:r>
          </w:p>
        </w:tc>
        <w:tc>
          <w:tcPr>
            <w:tcW w:w="540" w:type="dxa"/>
            <w:vMerge/>
            <w:shd w:val="clear" w:color="auto" w:fill="DBE5F1" w:themeFill="accent1" w:themeFillTint="33"/>
          </w:tcPr>
          <w:p w14:paraId="6F8871F1" w14:textId="77777777" w:rsidR="004A493A" w:rsidRPr="00C510B5" w:rsidRDefault="004A493A" w:rsidP="004D3659">
            <w:pPr>
              <w:widowControl/>
              <w:tabs>
                <w:tab w:val="left" w:pos="3150"/>
              </w:tabs>
              <w:autoSpaceDE/>
              <w:autoSpaceDN/>
              <w:adjustRightInd/>
              <w:spacing w:after="120"/>
              <w:rPr>
                <w:rFonts w:eastAsia="Calibri"/>
                <w:b/>
                <w:sz w:val="18"/>
                <w:szCs w:val="20"/>
              </w:rPr>
            </w:pPr>
          </w:p>
        </w:tc>
        <w:tc>
          <w:tcPr>
            <w:tcW w:w="1350" w:type="dxa"/>
            <w:vMerge/>
            <w:shd w:val="clear" w:color="auto" w:fill="DBE5F1" w:themeFill="accent1" w:themeFillTint="33"/>
            <w:vAlign w:val="center"/>
          </w:tcPr>
          <w:p w14:paraId="60882E0D" w14:textId="77777777" w:rsidR="004A493A" w:rsidRPr="00C510B5" w:rsidRDefault="004A493A" w:rsidP="004D3659">
            <w:pPr>
              <w:widowControl/>
              <w:tabs>
                <w:tab w:val="left" w:pos="3150"/>
              </w:tabs>
              <w:autoSpaceDE/>
              <w:autoSpaceDN/>
              <w:adjustRightInd/>
              <w:spacing w:after="120"/>
              <w:rPr>
                <w:rFonts w:eastAsia="Calibri"/>
                <w:b/>
                <w:sz w:val="18"/>
                <w:szCs w:val="20"/>
              </w:rPr>
            </w:pPr>
          </w:p>
        </w:tc>
      </w:tr>
      <w:tr w:rsidR="004F55E8" w:rsidRPr="007A4B19" w14:paraId="3B9C8E63" w14:textId="77777777" w:rsidTr="00A718A8">
        <w:trPr>
          <w:cantSplit/>
          <w:trHeight w:val="278"/>
          <w:jc w:val="center"/>
        </w:trPr>
        <w:tc>
          <w:tcPr>
            <w:tcW w:w="2875" w:type="dxa"/>
            <w:vMerge/>
            <w:shd w:val="clear" w:color="auto" w:fill="DBE5F1" w:themeFill="accent1" w:themeFillTint="33"/>
          </w:tcPr>
          <w:p w14:paraId="49255A8D" w14:textId="77777777" w:rsidR="004A493A" w:rsidRPr="00C510B5" w:rsidRDefault="004A493A" w:rsidP="004D3659">
            <w:pPr>
              <w:widowControl/>
              <w:tabs>
                <w:tab w:val="left" w:pos="3150"/>
              </w:tabs>
              <w:autoSpaceDE/>
              <w:autoSpaceDN/>
              <w:adjustRightInd/>
              <w:spacing w:after="120"/>
              <w:rPr>
                <w:rFonts w:eastAsia="Calibri"/>
                <w:b/>
                <w:sz w:val="18"/>
                <w:szCs w:val="20"/>
              </w:rPr>
            </w:pPr>
          </w:p>
        </w:tc>
        <w:tc>
          <w:tcPr>
            <w:tcW w:w="5760" w:type="dxa"/>
            <w:shd w:val="clear" w:color="auto" w:fill="DBE5F1" w:themeFill="accent1" w:themeFillTint="33"/>
            <w:vAlign w:val="center"/>
          </w:tcPr>
          <w:p w14:paraId="390FBF58" w14:textId="77777777" w:rsidR="004A493A" w:rsidRPr="00C510B5" w:rsidRDefault="004A493A" w:rsidP="000567A5">
            <w:pPr>
              <w:pStyle w:val="ListParagraph"/>
              <w:widowControl/>
              <w:numPr>
                <w:ilvl w:val="0"/>
                <w:numId w:val="48"/>
              </w:numPr>
              <w:autoSpaceDE/>
              <w:autoSpaceDN/>
              <w:adjustRightInd/>
              <w:jc w:val="left"/>
              <w:rPr>
                <w:color w:val="000000"/>
                <w:sz w:val="18"/>
                <w:szCs w:val="20"/>
              </w:rPr>
            </w:pPr>
            <w:r w:rsidRPr="00C510B5">
              <w:rPr>
                <w:color w:val="000000"/>
                <w:sz w:val="18"/>
                <w:szCs w:val="20"/>
              </w:rPr>
              <w:t>Complete ATP worksheet</w:t>
            </w:r>
          </w:p>
        </w:tc>
        <w:tc>
          <w:tcPr>
            <w:tcW w:w="540" w:type="dxa"/>
            <w:vMerge/>
            <w:shd w:val="clear" w:color="auto" w:fill="DBE5F1" w:themeFill="accent1" w:themeFillTint="33"/>
          </w:tcPr>
          <w:p w14:paraId="2C2C70EE" w14:textId="77777777" w:rsidR="004A493A" w:rsidRPr="00C510B5" w:rsidRDefault="004A493A" w:rsidP="004D3659">
            <w:pPr>
              <w:widowControl/>
              <w:tabs>
                <w:tab w:val="left" w:pos="3150"/>
              </w:tabs>
              <w:autoSpaceDE/>
              <w:autoSpaceDN/>
              <w:adjustRightInd/>
              <w:spacing w:after="120"/>
              <w:rPr>
                <w:rFonts w:eastAsia="Calibri"/>
                <w:b/>
                <w:sz w:val="18"/>
                <w:szCs w:val="20"/>
              </w:rPr>
            </w:pPr>
          </w:p>
        </w:tc>
        <w:tc>
          <w:tcPr>
            <w:tcW w:w="1350" w:type="dxa"/>
            <w:vMerge/>
            <w:shd w:val="clear" w:color="auto" w:fill="DBE5F1" w:themeFill="accent1" w:themeFillTint="33"/>
            <w:vAlign w:val="center"/>
          </w:tcPr>
          <w:p w14:paraId="3FF52BC2" w14:textId="77777777" w:rsidR="004A493A" w:rsidRPr="00C510B5" w:rsidRDefault="004A493A" w:rsidP="004D3659">
            <w:pPr>
              <w:widowControl/>
              <w:tabs>
                <w:tab w:val="left" w:pos="3150"/>
              </w:tabs>
              <w:autoSpaceDE/>
              <w:autoSpaceDN/>
              <w:adjustRightInd/>
              <w:spacing w:after="120"/>
              <w:rPr>
                <w:rFonts w:eastAsia="Calibri"/>
                <w:b/>
                <w:sz w:val="18"/>
                <w:szCs w:val="20"/>
              </w:rPr>
            </w:pPr>
          </w:p>
        </w:tc>
      </w:tr>
      <w:tr w:rsidR="004F55E8" w:rsidRPr="007A4B19" w14:paraId="60124AC5" w14:textId="77777777" w:rsidTr="0014363D">
        <w:trPr>
          <w:cantSplit/>
          <w:trHeight w:val="440"/>
          <w:jc w:val="center"/>
        </w:trPr>
        <w:tc>
          <w:tcPr>
            <w:tcW w:w="2875" w:type="dxa"/>
            <w:vMerge/>
            <w:shd w:val="clear" w:color="auto" w:fill="DBE5F1" w:themeFill="accent1" w:themeFillTint="33"/>
          </w:tcPr>
          <w:p w14:paraId="000F4ECD" w14:textId="77777777" w:rsidR="004A493A" w:rsidRPr="00C510B5" w:rsidRDefault="004A493A" w:rsidP="004D3659">
            <w:pPr>
              <w:widowControl/>
              <w:tabs>
                <w:tab w:val="left" w:pos="3150"/>
              </w:tabs>
              <w:autoSpaceDE/>
              <w:autoSpaceDN/>
              <w:adjustRightInd/>
              <w:spacing w:after="120"/>
              <w:rPr>
                <w:rFonts w:eastAsia="Calibri"/>
                <w:b/>
                <w:sz w:val="18"/>
                <w:szCs w:val="20"/>
              </w:rPr>
            </w:pPr>
          </w:p>
        </w:tc>
        <w:tc>
          <w:tcPr>
            <w:tcW w:w="5760" w:type="dxa"/>
            <w:shd w:val="clear" w:color="auto" w:fill="DBE5F1" w:themeFill="accent1" w:themeFillTint="33"/>
            <w:vAlign w:val="center"/>
          </w:tcPr>
          <w:p w14:paraId="664EB1FD" w14:textId="77777777" w:rsidR="009D00D4" w:rsidRPr="00C510B5" w:rsidRDefault="004A493A" w:rsidP="000567A5">
            <w:pPr>
              <w:pStyle w:val="ListParagraph"/>
              <w:widowControl/>
              <w:numPr>
                <w:ilvl w:val="0"/>
                <w:numId w:val="48"/>
              </w:numPr>
              <w:autoSpaceDE/>
              <w:autoSpaceDN/>
              <w:adjustRightInd/>
              <w:jc w:val="left"/>
              <w:rPr>
                <w:color w:val="000000"/>
                <w:sz w:val="18"/>
                <w:szCs w:val="20"/>
              </w:rPr>
            </w:pPr>
            <w:r w:rsidRPr="00C510B5">
              <w:rPr>
                <w:color w:val="000000"/>
                <w:sz w:val="18"/>
                <w:szCs w:val="20"/>
              </w:rPr>
              <w:t>Submit ATP and worksheet to eistcc.ta@gsa.gov mailbox</w:t>
            </w:r>
          </w:p>
        </w:tc>
        <w:tc>
          <w:tcPr>
            <w:tcW w:w="540" w:type="dxa"/>
            <w:vMerge/>
            <w:shd w:val="clear" w:color="auto" w:fill="DBE5F1" w:themeFill="accent1" w:themeFillTint="33"/>
          </w:tcPr>
          <w:p w14:paraId="740F147E" w14:textId="77777777" w:rsidR="004A493A" w:rsidRPr="00C510B5" w:rsidRDefault="004A493A" w:rsidP="004D3659">
            <w:pPr>
              <w:widowControl/>
              <w:tabs>
                <w:tab w:val="left" w:pos="3150"/>
              </w:tabs>
              <w:autoSpaceDE/>
              <w:autoSpaceDN/>
              <w:adjustRightInd/>
              <w:spacing w:after="120"/>
              <w:rPr>
                <w:rFonts w:eastAsia="Calibri"/>
                <w:b/>
                <w:sz w:val="18"/>
                <w:szCs w:val="20"/>
              </w:rPr>
            </w:pPr>
          </w:p>
        </w:tc>
        <w:tc>
          <w:tcPr>
            <w:tcW w:w="1350" w:type="dxa"/>
            <w:vMerge/>
            <w:shd w:val="clear" w:color="auto" w:fill="DBE5F1" w:themeFill="accent1" w:themeFillTint="33"/>
            <w:vAlign w:val="center"/>
          </w:tcPr>
          <w:p w14:paraId="01922E99" w14:textId="77777777" w:rsidR="004A493A" w:rsidRPr="00C510B5" w:rsidRDefault="004A493A" w:rsidP="004D3659">
            <w:pPr>
              <w:widowControl/>
              <w:tabs>
                <w:tab w:val="left" w:pos="3150"/>
              </w:tabs>
              <w:autoSpaceDE/>
              <w:autoSpaceDN/>
              <w:adjustRightInd/>
              <w:spacing w:after="120"/>
              <w:rPr>
                <w:rFonts w:eastAsia="Calibri"/>
                <w:b/>
                <w:sz w:val="18"/>
                <w:szCs w:val="20"/>
              </w:rPr>
            </w:pPr>
          </w:p>
        </w:tc>
      </w:tr>
      <w:tr w:rsidR="004F55E8" w:rsidRPr="007A4B19" w14:paraId="5890A442" w14:textId="77777777" w:rsidTr="0014363D">
        <w:trPr>
          <w:cantSplit/>
          <w:jc w:val="center"/>
        </w:trPr>
        <w:tc>
          <w:tcPr>
            <w:tcW w:w="2875" w:type="dxa"/>
            <w:vMerge w:val="restart"/>
            <w:vAlign w:val="center"/>
          </w:tcPr>
          <w:p w14:paraId="38CB4155" w14:textId="6A7906DC" w:rsidR="00250499" w:rsidRPr="00921F4F" w:rsidRDefault="00250499" w:rsidP="004D3659">
            <w:pPr>
              <w:widowControl/>
              <w:tabs>
                <w:tab w:val="left" w:pos="3150"/>
              </w:tabs>
              <w:autoSpaceDE/>
              <w:autoSpaceDN/>
              <w:adjustRightInd/>
              <w:spacing w:after="120"/>
              <w:jc w:val="left"/>
              <w:rPr>
                <w:rFonts w:eastAsia="Calibri"/>
                <w:sz w:val="18"/>
                <w:szCs w:val="18"/>
              </w:rPr>
            </w:pPr>
            <w:r w:rsidRPr="002A7B60">
              <w:rPr>
                <w:rFonts w:eastAsia="Calibri"/>
                <w:sz w:val="18"/>
                <w:szCs w:val="18"/>
              </w:rPr>
              <w:lastRenderedPageBreak/>
              <w:t xml:space="preserve">Finalize </w:t>
            </w:r>
            <w:r w:rsidR="00B25A7C" w:rsidRPr="002A7B60">
              <w:rPr>
                <w:rFonts w:eastAsia="Calibri"/>
                <w:sz w:val="18"/>
                <w:szCs w:val="18"/>
              </w:rPr>
              <w:t>IAA</w:t>
            </w:r>
            <w:r w:rsidRPr="006235B2">
              <w:rPr>
                <w:rFonts w:eastAsia="Calibri"/>
                <w:sz w:val="18"/>
                <w:szCs w:val="18"/>
              </w:rPr>
              <w:t xml:space="preserve"> for GSA consultant support</w:t>
            </w:r>
          </w:p>
        </w:tc>
        <w:tc>
          <w:tcPr>
            <w:tcW w:w="5760" w:type="dxa"/>
            <w:vAlign w:val="center"/>
          </w:tcPr>
          <w:p w14:paraId="6896300B" w14:textId="40091138" w:rsidR="00250499" w:rsidRPr="00A47E54" w:rsidRDefault="00250499" w:rsidP="000567A5">
            <w:pPr>
              <w:pStyle w:val="ListParagraph"/>
              <w:widowControl/>
              <w:numPr>
                <w:ilvl w:val="0"/>
                <w:numId w:val="50"/>
              </w:numPr>
              <w:autoSpaceDE/>
              <w:autoSpaceDN/>
              <w:adjustRightInd/>
              <w:jc w:val="left"/>
              <w:rPr>
                <w:color w:val="000000"/>
                <w:sz w:val="18"/>
                <w:szCs w:val="18"/>
              </w:rPr>
            </w:pPr>
            <w:r w:rsidRPr="00A47E54">
              <w:rPr>
                <w:color w:val="000000"/>
                <w:sz w:val="18"/>
                <w:szCs w:val="18"/>
              </w:rPr>
              <w:t xml:space="preserve">Identify agency </w:t>
            </w:r>
            <w:r w:rsidR="00B25A7C" w:rsidRPr="00A47E54">
              <w:rPr>
                <w:color w:val="000000"/>
                <w:sz w:val="18"/>
                <w:szCs w:val="18"/>
              </w:rPr>
              <w:t>IAA</w:t>
            </w:r>
            <w:r w:rsidRPr="00A47E54">
              <w:rPr>
                <w:color w:val="000000"/>
                <w:sz w:val="18"/>
                <w:szCs w:val="18"/>
              </w:rPr>
              <w:t xml:space="preserve"> signatory</w:t>
            </w:r>
          </w:p>
        </w:tc>
        <w:sdt>
          <w:sdtPr>
            <w:rPr>
              <w:rFonts w:ascii="Segoe UI Symbol" w:eastAsia="MS Gothic" w:hAnsi="Segoe UI Symbol" w:cs="Segoe UI Symbol"/>
              <w:sz w:val="20"/>
              <w:szCs w:val="20"/>
            </w:rPr>
            <w:id w:val="157268456"/>
            <w14:checkbox>
              <w14:checked w14:val="0"/>
              <w14:checkedState w14:val="00FE" w14:font="Wingdings"/>
              <w14:uncheckedState w14:val="2610" w14:font="MS Gothic"/>
            </w14:checkbox>
          </w:sdtPr>
          <w:sdtEndPr/>
          <w:sdtContent>
            <w:tc>
              <w:tcPr>
                <w:tcW w:w="540" w:type="dxa"/>
                <w:vMerge w:val="restart"/>
                <w:vAlign w:val="center"/>
              </w:tcPr>
              <w:p w14:paraId="64BE11DA" w14:textId="480782C6" w:rsidR="00250499" w:rsidRPr="00A23B3F" w:rsidRDefault="000B708C" w:rsidP="004D3659">
                <w:pPr>
                  <w:widowControl/>
                  <w:tabs>
                    <w:tab w:val="left" w:pos="3150"/>
                  </w:tabs>
                  <w:autoSpaceDE/>
                  <w:autoSpaceDN/>
                  <w:adjustRightInd/>
                  <w:spacing w:after="120"/>
                  <w:jc w:val="center"/>
                  <w:rPr>
                    <w:rFonts w:eastAsia="Calibri"/>
                    <w:b/>
                    <w:sz w:val="20"/>
                    <w:szCs w:val="20"/>
                  </w:rPr>
                </w:pPr>
                <w:r w:rsidRPr="00A23B3F">
                  <w:rPr>
                    <w:rFonts w:ascii="Segoe UI Symbol" w:eastAsia="MS Gothic" w:hAnsi="Segoe UI Symbol" w:cs="Segoe UI Symbol"/>
                    <w:sz w:val="20"/>
                    <w:szCs w:val="20"/>
                  </w:rPr>
                  <w:t>☐</w:t>
                </w:r>
              </w:p>
            </w:tc>
          </w:sdtContent>
        </w:sdt>
        <w:tc>
          <w:tcPr>
            <w:tcW w:w="1350" w:type="dxa"/>
            <w:vMerge w:val="restart"/>
            <w:vAlign w:val="center"/>
          </w:tcPr>
          <w:p w14:paraId="6ABFBBB3" w14:textId="414BB481" w:rsidR="00250499" w:rsidRPr="00E436C5" w:rsidRDefault="006504F8" w:rsidP="006504F8">
            <w:pPr>
              <w:widowControl/>
              <w:tabs>
                <w:tab w:val="left" w:pos="3150"/>
              </w:tabs>
              <w:autoSpaceDE/>
              <w:autoSpaceDN/>
              <w:adjustRightInd/>
              <w:spacing w:after="120"/>
              <w:jc w:val="center"/>
              <w:rPr>
                <w:rFonts w:eastAsia="Calibri"/>
                <w:sz w:val="18"/>
              </w:rPr>
            </w:pPr>
            <w:r w:rsidRPr="00E436C5">
              <w:rPr>
                <w:rFonts w:eastAsia="Calibri"/>
                <w:sz w:val="18"/>
              </w:rPr>
              <w:t>As contacted by GSA</w:t>
            </w:r>
          </w:p>
        </w:tc>
      </w:tr>
      <w:tr w:rsidR="004F55E8" w:rsidRPr="007A4B19" w14:paraId="0954A60E" w14:textId="77777777" w:rsidTr="0014363D">
        <w:trPr>
          <w:cantSplit/>
          <w:jc w:val="center"/>
        </w:trPr>
        <w:tc>
          <w:tcPr>
            <w:tcW w:w="2875" w:type="dxa"/>
            <w:vMerge/>
          </w:tcPr>
          <w:p w14:paraId="3FFA56D6" w14:textId="77777777" w:rsidR="00250499" w:rsidRPr="00557C49" w:rsidRDefault="00250499" w:rsidP="004D3659">
            <w:pPr>
              <w:widowControl/>
              <w:tabs>
                <w:tab w:val="left" w:pos="3150"/>
              </w:tabs>
              <w:autoSpaceDE/>
              <w:autoSpaceDN/>
              <w:adjustRightInd/>
              <w:spacing w:after="120"/>
              <w:rPr>
                <w:rFonts w:eastAsia="Calibri"/>
                <w:b/>
                <w:sz w:val="18"/>
                <w:szCs w:val="18"/>
              </w:rPr>
            </w:pPr>
          </w:p>
        </w:tc>
        <w:tc>
          <w:tcPr>
            <w:tcW w:w="5760" w:type="dxa"/>
            <w:vAlign w:val="center"/>
          </w:tcPr>
          <w:p w14:paraId="01E227F0" w14:textId="77777777" w:rsidR="00250499" w:rsidRPr="00C510B5" w:rsidRDefault="00250499" w:rsidP="000567A5">
            <w:pPr>
              <w:pStyle w:val="ListParagraph"/>
              <w:widowControl/>
              <w:numPr>
                <w:ilvl w:val="0"/>
                <w:numId w:val="50"/>
              </w:numPr>
              <w:autoSpaceDE/>
              <w:autoSpaceDN/>
              <w:adjustRightInd/>
              <w:jc w:val="left"/>
              <w:rPr>
                <w:color w:val="000000"/>
                <w:sz w:val="18"/>
                <w:szCs w:val="20"/>
              </w:rPr>
            </w:pPr>
            <w:r w:rsidRPr="00C510B5">
              <w:rPr>
                <w:color w:val="000000"/>
                <w:sz w:val="18"/>
                <w:szCs w:val="20"/>
              </w:rPr>
              <w:t>Identify a PM to monitor consultant’s performance</w:t>
            </w:r>
          </w:p>
        </w:tc>
        <w:tc>
          <w:tcPr>
            <w:tcW w:w="540" w:type="dxa"/>
            <w:vMerge/>
          </w:tcPr>
          <w:p w14:paraId="5C22CDA5" w14:textId="77777777" w:rsidR="00250499" w:rsidRPr="00C510B5" w:rsidRDefault="00250499" w:rsidP="004D3659">
            <w:pPr>
              <w:widowControl/>
              <w:tabs>
                <w:tab w:val="left" w:pos="3150"/>
              </w:tabs>
              <w:autoSpaceDE/>
              <w:autoSpaceDN/>
              <w:adjustRightInd/>
              <w:spacing w:after="120"/>
              <w:rPr>
                <w:rFonts w:eastAsia="Calibri"/>
                <w:b/>
                <w:sz w:val="18"/>
                <w:szCs w:val="20"/>
              </w:rPr>
            </w:pPr>
          </w:p>
        </w:tc>
        <w:tc>
          <w:tcPr>
            <w:tcW w:w="1350" w:type="dxa"/>
            <w:vMerge/>
            <w:vAlign w:val="center"/>
          </w:tcPr>
          <w:p w14:paraId="3E381A45" w14:textId="77777777" w:rsidR="00250499" w:rsidRPr="00557C49" w:rsidRDefault="00250499" w:rsidP="004D3659">
            <w:pPr>
              <w:widowControl/>
              <w:tabs>
                <w:tab w:val="left" w:pos="3150"/>
              </w:tabs>
              <w:autoSpaceDE/>
              <w:autoSpaceDN/>
              <w:adjustRightInd/>
              <w:spacing w:after="120"/>
              <w:rPr>
                <w:rFonts w:eastAsia="Calibri"/>
                <w:b/>
                <w:sz w:val="18"/>
                <w:szCs w:val="18"/>
              </w:rPr>
            </w:pPr>
          </w:p>
        </w:tc>
      </w:tr>
      <w:tr w:rsidR="004F55E8" w:rsidRPr="007A4B19" w14:paraId="2AD01FDC" w14:textId="77777777" w:rsidTr="0014363D">
        <w:trPr>
          <w:cantSplit/>
          <w:jc w:val="center"/>
        </w:trPr>
        <w:tc>
          <w:tcPr>
            <w:tcW w:w="2875" w:type="dxa"/>
            <w:vMerge/>
          </w:tcPr>
          <w:p w14:paraId="0F732A86" w14:textId="77777777" w:rsidR="00250499" w:rsidRPr="00557C49" w:rsidRDefault="00250499" w:rsidP="004D3659">
            <w:pPr>
              <w:widowControl/>
              <w:tabs>
                <w:tab w:val="left" w:pos="3150"/>
              </w:tabs>
              <w:autoSpaceDE/>
              <w:autoSpaceDN/>
              <w:adjustRightInd/>
              <w:spacing w:after="120"/>
              <w:rPr>
                <w:rFonts w:eastAsia="Calibri"/>
                <w:b/>
                <w:sz w:val="18"/>
                <w:szCs w:val="18"/>
              </w:rPr>
            </w:pPr>
          </w:p>
        </w:tc>
        <w:tc>
          <w:tcPr>
            <w:tcW w:w="5760" w:type="dxa"/>
            <w:vAlign w:val="center"/>
          </w:tcPr>
          <w:p w14:paraId="50331C70" w14:textId="77777777" w:rsidR="00250499" w:rsidRPr="00C510B5" w:rsidRDefault="00250499" w:rsidP="000567A5">
            <w:pPr>
              <w:pStyle w:val="ListParagraph"/>
              <w:widowControl/>
              <w:numPr>
                <w:ilvl w:val="0"/>
                <w:numId w:val="50"/>
              </w:numPr>
              <w:autoSpaceDE/>
              <w:autoSpaceDN/>
              <w:adjustRightInd/>
              <w:jc w:val="left"/>
              <w:rPr>
                <w:color w:val="000000"/>
                <w:sz w:val="18"/>
                <w:szCs w:val="20"/>
              </w:rPr>
            </w:pPr>
            <w:r w:rsidRPr="00C510B5">
              <w:rPr>
                <w:color w:val="000000"/>
                <w:sz w:val="18"/>
                <w:szCs w:val="20"/>
              </w:rPr>
              <w:t>Communicate number of FOs and type</w:t>
            </w:r>
          </w:p>
        </w:tc>
        <w:tc>
          <w:tcPr>
            <w:tcW w:w="540" w:type="dxa"/>
            <w:vMerge/>
          </w:tcPr>
          <w:p w14:paraId="53D6D2A6" w14:textId="77777777" w:rsidR="00250499" w:rsidRPr="00C510B5" w:rsidRDefault="00250499" w:rsidP="004D3659">
            <w:pPr>
              <w:widowControl/>
              <w:tabs>
                <w:tab w:val="left" w:pos="3150"/>
              </w:tabs>
              <w:autoSpaceDE/>
              <w:autoSpaceDN/>
              <w:adjustRightInd/>
              <w:spacing w:after="120"/>
              <w:rPr>
                <w:rFonts w:eastAsia="Calibri"/>
                <w:b/>
                <w:sz w:val="18"/>
                <w:szCs w:val="20"/>
              </w:rPr>
            </w:pPr>
          </w:p>
        </w:tc>
        <w:tc>
          <w:tcPr>
            <w:tcW w:w="1350" w:type="dxa"/>
            <w:vMerge/>
            <w:vAlign w:val="center"/>
          </w:tcPr>
          <w:p w14:paraId="735BFB99" w14:textId="77777777" w:rsidR="00250499" w:rsidRPr="00557C49" w:rsidRDefault="00250499" w:rsidP="004D3659">
            <w:pPr>
              <w:widowControl/>
              <w:tabs>
                <w:tab w:val="left" w:pos="3150"/>
              </w:tabs>
              <w:autoSpaceDE/>
              <w:autoSpaceDN/>
              <w:adjustRightInd/>
              <w:spacing w:after="120"/>
              <w:rPr>
                <w:rFonts w:eastAsia="Calibri"/>
                <w:b/>
                <w:sz w:val="18"/>
                <w:szCs w:val="18"/>
              </w:rPr>
            </w:pPr>
          </w:p>
        </w:tc>
      </w:tr>
      <w:tr w:rsidR="004F55E8" w:rsidRPr="007A4B19" w14:paraId="0728EE41" w14:textId="77777777" w:rsidTr="0014363D">
        <w:trPr>
          <w:cantSplit/>
          <w:jc w:val="center"/>
        </w:trPr>
        <w:tc>
          <w:tcPr>
            <w:tcW w:w="2875" w:type="dxa"/>
            <w:vMerge/>
          </w:tcPr>
          <w:p w14:paraId="0D62F764" w14:textId="77777777" w:rsidR="00250499" w:rsidRPr="00557C49" w:rsidRDefault="00250499" w:rsidP="004D3659">
            <w:pPr>
              <w:widowControl/>
              <w:tabs>
                <w:tab w:val="left" w:pos="3150"/>
              </w:tabs>
              <w:autoSpaceDE/>
              <w:autoSpaceDN/>
              <w:adjustRightInd/>
              <w:spacing w:after="120"/>
              <w:rPr>
                <w:rFonts w:eastAsia="Calibri"/>
                <w:b/>
                <w:sz w:val="18"/>
                <w:szCs w:val="18"/>
              </w:rPr>
            </w:pPr>
          </w:p>
        </w:tc>
        <w:tc>
          <w:tcPr>
            <w:tcW w:w="5760" w:type="dxa"/>
            <w:vAlign w:val="center"/>
          </w:tcPr>
          <w:p w14:paraId="28B98136" w14:textId="77777777" w:rsidR="00250499" w:rsidRPr="00C510B5" w:rsidRDefault="00250499" w:rsidP="000567A5">
            <w:pPr>
              <w:pStyle w:val="ListParagraph"/>
              <w:widowControl/>
              <w:numPr>
                <w:ilvl w:val="1"/>
                <w:numId w:val="50"/>
              </w:numPr>
              <w:autoSpaceDE/>
              <w:autoSpaceDN/>
              <w:adjustRightInd/>
              <w:jc w:val="left"/>
              <w:rPr>
                <w:color w:val="000000"/>
                <w:sz w:val="18"/>
                <w:szCs w:val="20"/>
              </w:rPr>
            </w:pPr>
            <w:r w:rsidRPr="00C510B5">
              <w:rPr>
                <w:color w:val="000000"/>
                <w:sz w:val="18"/>
                <w:szCs w:val="20"/>
              </w:rPr>
              <w:t>Complex: RFP, SOW</w:t>
            </w:r>
          </w:p>
        </w:tc>
        <w:tc>
          <w:tcPr>
            <w:tcW w:w="540" w:type="dxa"/>
            <w:vMerge/>
          </w:tcPr>
          <w:p w14:paraId="6F9EABD6" w14:textId="77777777" w:rsidR="00250499" w:rsidRPr="00C510B5" w:rsidRDefault="00250499" w:rsidP="004D3659">
            <w:pPr>
              <w:widowControl/>
              <w:tabs>
                <w:tab w:val="left" w:pos="3150"/>
              </w:tabs>
              <w:autoSpaceDE/>
              <w:autoSpaceDN/>
              <w:adjustRightInd/>
              <w:spacing w:after="120"/>
              <w:rPr>
                <w:rFonts w:eastAsia="Calibri"/>
                <w:b/>
                <w:sz w:val="18"/>
                <w:szCs w:val="20"/>
              </w:rPr>
            </w:pPr>
          </w:p>
        </w:tc>
        <w:tc>
          <w:tcPr>
            <w:tcW w:w="1350" w:type="dxa"/>
            <w:vMerge/>
            <w:vAlign w:val="center"/>
          </w:tcPr>
          <w:p w14:paraId="35332BED" w14:textId="77777777" w:rsidR="00250499" w:rsidRPr="00557C49" w:rsidRDefault="00250499" w:rsidP="004D3659">
            <w:pPr>
              <w:widowControl/>
              <w:tabs>
                <w:tab w:val="left" w:pos="3150"/>
              </w:tabs>
              <w:autoSpaceDE/>
              <w:autoSpaceDN/>
              <w:adjustRightInd/>
              <w:spacing w:after="120"/>
              <w:rPr>
                <w:rFonts w:eastAsia="Calibri"/>
                <w:b/>
                <w:sz w:val="18"/>
                <w:szCs w:val="18"/>
              </w:rPr>
            </w:pPr>
          </w:p>
        </w:tc>
      </w:tr>
      <w:tr w:rsidR="004F55E8" w:rsidRPr="007A4B19" w14:paraId="04E32589" w14:textId="77777777" w:rsidTr="0014363D">
        <w:trPr>
          <w:cantSplit/>
          <w:jc w:val="center"/>
        </w:trPr>
        <w:tc>
          <w:tcPr>
            <w:tcW w:w="2875" w:type="dxa"/>
            <w:vMerge/>
          </w:tcPr>
          <w:p w14:paraId="4848EE35" w14:textId="77777777" w:rsidR="00250499" w:rsidRPr="00557C49" w:rsidRDefault="00250499" w:rsidP="004D3659">
            <w:pPr>
              <w:widowControl/>
              <w:tabs>
                <w:tab w:val="left" w:pos="3150"/>
              </w:tabs>
              <w:autoSpaceDE/>
              <w:autoSpaceDN/>
              <w:adjustRightInd/>
              <w:spacing w:after="120"/>
              <w:rPr>
                <w:rFonts w:eastAsia="Calibri"/>
                <w:b/>
                <w:sz w:val="18"/>
                <w:szCs w:val="18"/>
              </w:rPr>
            </w:pPr>
          </w:p>
        </w:tc>
        <w:tc>
          <w:tcPr>
            <w:tcW w:w="5760" w:type="dxa"/>
            <w:vAlign w:val="center"/>
          </w:tcPr>
          <w:p w14:paraId="30E742BE" w14:textId="77777777" w:rsidR="00250499" w:rsidRPr="00C510B5" w:rsidRDefault="00250499" w:rsidP="000567A5">
            <w:pPr>
              <w:pStyle w:val="ListParagraph"/>
              <w:widowControl/>
              <w:numPr>
                <w:ilvl w:val="1"/>
                <w:numId w:val="50"/>
              </w:numPr>
              <w:autoSpaceDE/>
              <w:autoSpaceDN/>
              <w:adjustRightInd/>
              <w:jc w:val="left"/>
              <w:rPr>
                <w:color w:val="000000"/>
                <w:sz w:val="18"/>
                <w:szCs w:val="20"/>
              </w:rPr>
            </w:pPr>
            <w:r w:rsidRPr="00C510B5">
              <w:rPr>
                <w:color w:val="000000"/>
                <w:sz w:val="18"/>
                <w:szCs w:val="20"/>
              </w:rPr>
              <w:t>Simple: RFQ, Price Only</w:t>
            </w:r>
          </w:p>
        </w:tc>
        <w:tc>
          <w:tcPr>
            <w:tcW w:w="540" w:type="dxa"/>
            <w:vMerge/>
          </w:tcPr>
          <w:p w14:paraId="32F8448C" w14:textId="77777777" w:rsidR="00250499" w:rsidRPr="00C510B5" w:rsidRDefault="00250499" w:rsidP="004D3659">
            <w:pPr>
              <w:widowControl/>
              <w:tabs>
                <w:tab w:val="left" w:pos="3150"/>
              </w:tabs>
              <w:autoSpaceDE/>
              <w:autoSpaceDN/>
              <w:adjustRightInd/>
              <w:spacing w:after="120"/>
              <w:rPr>
                <w:rFonts w:eastAsia="Calibri"/>
                <w:b/>
                <w:sz w:val="18"/>
                <w:szCs w:val="20"/>
              </w:rPr>
            </w:pPr>
          </w:p>
        </w:tc>
        <w:tc>
          <w:tcPr>
            <w:tcW w:w="1350" w:type="dxa"/>
            <w:vMerge/>
            <w:vAlign w:val="center"/>
          </w:tcPr>
          <w:p w14:paraId="796A7A4F" w14:textId="77777777" w:rsidR="00250499" w:rsidRPr="00557C49" w:rsidRDefault="00250499" w:rsidP="004D3659">
            <w:pPr>
              <w:widowControl/>
              <w:tabs>
                <w:tab w:val="left" w:pos="3150"/>
              </w:tabs>
              <w:autoSpaceDE/>
              <w:autoSpaceDN/>
              <w:adjustRightInd/>
              <w:spacing w:after="120"/>
              <w:rPr>
                <w:rFonts w:eastAsia="Calibri"/>
                <w:b/>
                <w:sz w:val="18"/>
                <w:szCs w:val="18"/>
              </w:rPr>
            </w:pPr>
          </w:p>
        </w:tc>
      </w:tr>
      <w:tr w:rsidR="004F55E8" w:rsidRPr="007A4B19" w14:paraId="7CFC62CE" w14:textId="77777777" w:rsidTr="0014363D">
        <w:trPr>
          <w:cantSplit/>
          <w:jc w:val="center"/>
        </w:trPr>
        <w:tc>
          <w:tcPr>
            <w:tcW w:w="2875" w:type="dxa"/>
            <w:vMerge/>
          </w:tcPr>
          <w:p w14:paraId="19239D90" w14:textId="77777777" w:rsidR="00250499" w:rsidRPr="00557C49" w:rsidRDefault="00250499" w:rsidP="004D3659">
            <w:pPr>
              <w:widowControl/>
              <w:tabs>
                <w:tab w:val="left" w:pos="3150"/>
              </w:tabs>
              <w:autoSpaceDE/>
              <w:autoSpaceDN/>
              <w:adjustRightInd/>
              <w:spacing w:after="120"/>
              <w:rPr>
                <w:rFonts w:eastAsia="Calibri"/>
                <w:b/>
                <w:sz w:val="18"/>
                <w:szCs w:val="18"/>
              </w:rPr>
            </w:pPr>
          </w:p>
        </w:tc>
        <w:tc>
          <w:tcPr>
            <w:tcW w:w="5760" w:type="dxa"/>
            <w:vAlign w:val="center"/>
          </w:tcPr>
          <w:p w14:paraId="066057E9" w14:textId="77777777" w:rsidR="00250499" w:rsidRPr="00C510B5" w:rsidRDefault="00250499" w:rsidP="000567A5">
            <w:pPr>
              <w:pStyle w:val="ListParagraph"/>
              <w:widowControl/>
              <w:numPr>
                <w:ilvl w:val="0"/>
                <w:numId w:val="50"/>
              </w:numPr>
              <w:autoSpaceDE/>
              <w:autoSpaceDN/>
              <w:adjustRightInd/>
              <w:jc w:val="left"/>
              <w:rPr>
                <w:color w:val="000000"/>
                <w:sz w:val="18"/>
                <w:szCs w:val="20"/>
              </w:rPr>
            </w:pPr>
            <w:r w:rsidRPr="00C510B5">
              <w:rPr>
                <w:color w:val="000000"/>
                <w:sz w:val="18"/>
                <w:szCs w:val="20"/>
              </w:rPr>
              <w:t>Identify consultant clearance requirements (as applicable)</w:t>
            </w:r>
          </w:p>
        </w:tc>
        <w:tc>
          <w:tcPr>
            <w:tcW w:w="540" w:type="dxa"/>
            <w:vMerge/>
          </w:tcPr>
          <w:p w14:paraId="39193AC5" w14:textId="77777777" w:rsidR="00250499" w:rsidRPr="00C510B5" w:rsidRDefault="00250499" w:rsidP="004D3659">
            <w:pPr>
              <w:widowControl/>
              <w:tabs>
                <w:tab w:val="left" w:pos="3150"/>
              </w:tabs>
              <w:autoSpaceDE/>
              <w:autoSpaceDN/>
              <w:adjustRightInd/>
              <w:spacing w:after="120"/>
              <w:rPr>
                <w:rFonts w:eastAsia="Calibri"/>
                <w:b/>
                <w:sz w:val="18"/>
                <w:szCs w:val="20"/>
              </w:rPr>
            </w:pPr>
          </w:p>
        </w:tc>
        <w:tc>
          <w:tcPr>
            <w:tcW w:w="1350" w:type="dxa"/>
            <w:vMerge/>
            <w:vAlign w:val="center"/>
          </w:tcPr>
          <w:p w14:paraId="17F06917" w14:textId="77777777" w:rsidR="00250499" w:rsidRPr="00557C49" w:rsidRDefault="00250499" w:rsidP="004D3659">
            <w:pPr>
              <w:widowControl/>
              <w:tabs>
                <w:tab w:val="left" w:pos="3150"/>
              </w:tabs>
              <w:autoSpaceDE/>
              <w:autoSpaceDN/>
              <w:adjustRightInd/>
              <w:spacing w:after="120"/>
              <w:rPr>
                <w:rFonts w:eastAsia="Calibri"/>
                <w:b/>
                <w:sz w:val="18"/>
                <w:szCs w:val="18"/>
              </w:rPr>
            </w:pPr>
          </w:p>
        </w:tc>
      </w:tr>
      <w:tr w:rsidR="004F55E8" w:rsidRPr="007A4B19" w14:paraId="405A548E" w14:textId="77777777" w:rsidTr="0014363D">
        <w:trPr>
          <w:cantSplit/>
          <w:jc w:val="center"/>
        </w:trPr>
        <w:tc>
          <w:tcPr>
            <w:tcW w:w="2875" w:type="dxa"/>
            <w:vMerge/>
          </w:tcPr>
          <w:p w14:paraId="796775AA" w14:textId="77777777" w:rsidR="00250499" w:rsidRPr="00557C49" w:rsidRDefault="00250499" w:rsidP="004D3659">
            <w:pPr>
              <w:widowControl/>
              <w:tabs>
                <w:tab w:val="left" w:pos="3150"/>
              </w:tabs>
              <w:autoSpaceDE/>
              <w:autoSpaceDN/>
              <w:adjustRightInd/>
              <w:spacing w:after="120"/>
              <w:rPr>
                <w:rFonts w:eastAsia="Calibri"/>
                <w:b/>
                <w:sz w:val="18"/>
                <w:szCs w:val="18"/>
              </w:rPr>
            </w:pPr>
          </w:p>
        </w:tc>
        <w:tc>
          <w:tcPr>
            <w:tcW w:w="5760" w:type="dxa"/>
            <w:vAlign w:val="center"/>
          </w:tcPr>
          <w:p w14:paraId="1119EC47" w14:textId="77777777" w:rsidR="00250499" w:rsidRPr="00C510B5" w:rsidRDefault="00250499" w:rsidP="000567A5">
            <w:pPr>
              <w:pStyle w:val="ListParagraph"/>
              <w:widowControl/>
              <w:numPr>
                <w:ilvl w:val="0"/>
                <w:numId w:val="50"/>
              </w:numPr>
              <w:autoSpaceDE/>
              <w:autoSpaceDN/>
              <w:adjustRightInd/>
              <w:jc w:val="left"/>
              <w:rPr>
                <w:color w:val="000000"/>
                <w:sz w:val="18"/>
                <w:szCs w:val="20"/>
              </w:rPr>
            </w:pPr>
            <w:r w:rsidRPr="00C510B5">
              <w:rPr>
                <w:color w:val="000000"/>
                <w:sz w:val="18"/>
                <w:szCs w:val="20"/>
              </w:rPr>
              <w:t>Finalize resource allocation needs and timing</w:t>
            </w:r>
          </w:p>
        </w:tc>
        <w:tc>
          <w:tcPr>
            <w:tcW w:w="540" w:type="dxa"/>
            <w:vMerge/>
          </w:tcPr>
          <w:p w14:paraId="2A8A1A77" w14:textId="77777777" w:rsidR="00250499" w:rsidRPr="00C510B5" w:rsidRDefault="00250499" w:rsidP="004D3659">
            <w:pPr>
              <w:widowControl/>
              <w:tabs>
                <w:tab w:val="left" w:pos="3150"/>
              </w:tabs>
              <w:autoSpaceDE/>
              <w:autoSpaceDN/>
              <w:adjustRightInd/>
              <w:spacing w:after="120"/>
              <w:rPr>
                <w:rFonts w:eastAsia="Calibri"/>
                <w:b/>
                <w:sz w:val="18"/>
                <w:szCs w:val="20"/>
              </w:rPr>
            </w:pPr>
          </w:p>
        </w:tc>
        <w:tc>
          <w:tcPr>
            <w:tcW w:w="1350" w:type="dxa"/>
            <w:vMerge/>
            <w:vAlign w:val="center"/>
          </w:tcPr>
          <w:p w14:paraId="0F260354" w14:textId="77777777" w:rsidR="00250499" w:rsidRPr="00557C49" w:rsidRDefault="00250499" w:rsidP="004D3659">
            <w:pPr>
              <w:widowControl/>
              <w:tabs>
                <w:tab w:val="left" w:pos="3150"/>
              </w:tabs>
              <w:autoSpaceDE/>
              <w:autoSpaceDN/>
              <w:adjustRightInd/>
              <w:spacing w:after="120"/>
              <w:rPr>
                <w:rFonts w:eastAsia="Calibri"/>
                <w:b/>
                <w:sz w:val="18"/>
                <w:szCs w:val="18"/>
              </w:rPr>
            </w:pPr>
          </w:p>
        </w:tc>
      </w:tr>
      <w:tr w:rsidR="004F55E8" w:rsidRPr="007A4B19" w14:paraId="4896E5AF" w14:textId="77777777" w:rsidTr="0014363D">
        <w:trPr>
          <w:cantSplit/>
          <w:jc w:val="center"/>
        </w:trPr>
        <w:tc>
          <w:tcPr>
            <w:tcW w:w="2875" w:type="dxa"/>
            <w:vMerge/>
          </w:tcPr>
          <w:p w14:paraId="646A9769" w14:textId="77777777" w:rsidR="00250499" w:rsidRPr="00557C49" w:rsidRDefault="00250499" w:rsidP="004D3659">
            <w:pPr>
              <w:widowControl/>
              <w:tabs>
                <w:tab w:val="left" w:pos="3150"/>
              </w:tabs>
              <w:autoSpaceDE/>
              <w:autoSpaceDN/>
              <w:adjustRightInd/>
              <w:spacing w:after="120"/>
              <w:rPr>
                <w:rFonts w:eastAsia="Calibri"/>
                <w:b/>
                <w:sz w:val="18"/>
                <w:szCs w:val="18"/>
              </w:rPr>
            </w:pPr>
          </w:p>
        </w:tc>
        <w:tc>
          <w:tcPr>
            <w:tcW w:w="5760" w:type="dxa"/>
            <w:vAlign w:val="center"/>
          </w:tcPr>
          <w:p w14:paraId="683F9074" w14:textId="77777777" w:rsidR="00250499" w:rsidRPr="00C510B5" w:rsidRDefault="00250499" w:rsidP="000567A5">
            <w:pPr>
              <w:pStyle w:val="ListParagraph"/>
              <w:widowControl/>
              <w:numPr>
                <w:ilvl w:val="0"/>
                <w:numId w:val="50"/>
              </w:numPr>
              <w:autoSpaceDE/>
              <w:autoSpaceDN/>
              <w:adjustRightInd/>
              <w:jc w:val="left"/>
              <w:rPr>
                <w:color w:val="000000"/>
                <w:sz w:val="18"/>
                <w:szCs w:val="20"/>
              </w:rPr>
            </w:pPr>
            <w:r w:rsidRPr="00C510B5">
              <w:rPr>
                <w:color w:val="000000"/>
                <w:sz w:val="18"/>
                <w:szCs w:val="20"/>
              </w:rPr>
              <w:t>Conduct kick-off meeting with GSA consultants</w:t>
            </w:r>
          </w:p>
        </w:tc>
        <w:tc>
          <w:tcPr>
            <w:tcW w:w="540" w:type="dxa"/>
            <w:vMerge/>
          </w:tcPr>
          <w:p w14:paraId="69958EE6" w14:textId="77777777" w:rsidR="00250499" w:rsidRPr="00C510B5" w:rsidRDefault="00250499" w:rsidP="004D3659">
            <w:pPr>
              <w:widowControl/>
              <w:tabs>
                <w:tab w:val="left" w:pos="3150"/>
              </w:tabs>
              <w:autoSpaceDE/>
              <w:autoSpaceDN/>
              <w:adjustRightInd/>
              <w:spacing w:after="120"/>
              <w:rPr>
                <w:rFonts w:eastAsia="Calibri"/>
                <w:b/>
                <w:sz w:val="18"/>
                <w:szCs w:val="20"/>
              </w:rPr>
            </w:pPr>
          </w:p>
        </w:tc>
        <w:tc>
          <w:tcPr>
            <w:tcW w:w="1350" w:type="dxa"/>
            <w:vMerge/>
            <w:vAlign w:val="center"/>
          </w:tcPr>
          <w:p w14:paraId="299808D0" w14:textId="77777777" w:rsidR="00250499" w:rsidRPr="00557C49" w:rsidRDefault="00250499" w:rsidP="004D3659">
            <w:pPr>
              <w:widowControl/>
              <w:tabs>
                <w:tab w:val="left" w:pos="3150"/>
              </w:tabs>
              <w:autoSpaceDE/>
              <w:autoSpaceDN/>
              <w:adjustRightInd/>
              <w:spacing w:after="120"/>
              <w:rPr>
                <w:rFonts w:eastAsia="Calibri"/>
                <w:b/>
                <w:sz w:val="18"/>
                <w:szCs w:val="18"/>
              </w:rPr>
            </w:pPr>
          </w:p>
        </w:tc>
      </w:tr>
      <w:tr w:rsidR="004F55E8" w:rsidRPr="007A4B19" w14:paraId="494A75FF" w14:textId="77777777" w:rsidTr="0014363D">
        <w:trPr>
          <w:cantSplit/>
          <w:jc w:val="center"/>
        </w:trPr>
        <w:tc>
          <w:tcPr>
            <w:tcW w:w="2875" w:type="dxa"/>
            <w:vMerge/>
          </w:tcPr>
          <w:p w14:paraId="5FF64769" w14:textId="77777777" w:rsidR="00250499" w:rsidRPr="00557C49" w:rsidRDefault="00250499" w:rsidP="004D3659">
            <w:pPr>
              <w:widowControl/>
              <w:tabs>
                <w:tab w:val="left" w:pos="3150"/>
              </w:tabs>
              <w:autoSpaceDE/>
              <w:autoSpaceDN/>
              <w:adjustRightInd/>
              <w:spacing w:after="120"/>
              <w:rPr>
                <w:rFonts w:eastAsia="Calibri"/>
                <w:b/>
                <w:sz w:val="18"/>
                <w:szCs w:val="18"/>
              </w:rPr>
            </w:pPr>
          </w:p>
        </w:tc>
        <w:tc>
          <w:tcPr>
            <w:tcW w:w="5760" w:type="dxa"/>
            <w:vAlign w:val="center"/>
          </w:tcPr>
          <w:p w14:paraId="061E6303" w14:textId="77777777" w:rsidR="00250499" w:rsidRPr="00C510B5" w:rsidRDefault="00250499" w:rsidP="000567A5">
            <w:pPr>
              <w:pStyle w:val="ListParagraph"/>
              <w:widowControl/>
              <w:numPr>
                <w:ilvl w:val="1"/>
                <w:numId w:val="54"/>
              </w:numPr>
              <w:autoSpaceDE/>
              <w:autoSpaceDN/>
              <w:adjustRightInd/>
              <w:jc w:val="left"/>
              <w:rPr>
                <w:color w:val="000000"/>
                <w:sz w:val="18"/>
                <w:szCs w:val="20"/>
              </w:rPr>
            </w:pPr>
            <w:r w:rsidRPr="00C510B5">
              <w:rPr>
                <w:color w:val="000000"/>
                <w:sz w:val="18"/>
                <w:szCs w:val="20"/>
              </w:rPr>
              <w:t>Agency LTM, TOCO, and OCO for each FO Decision</w:t>
            </w:r>
          </w:p>
        </w:tc>
        <w:tc>
          <w:tcPr>
            <w:tcW w:w="540" w:type="dxa"/>
            <w:vMerge/>
          </w:tcPr>
          <w:p w14:paraId="56C911BA" w14:textId="77777777" w:rsidR="00250499" w:rsidRPr="00C510B5" w:rsidRDefault="00250499" w:rsidP="004D3659">
            <w:pPr>
              <w:widowControl/>
              <w:tabs>
                <w:tab w:val="left" w:pos="3150"/>
              </w:tabs>
              <w:autoSpaceDE/>
              <w:autoSpaceDN/>
              <w:adjustRightInd/>
              <w:spacing w:after="120"/>
              <w:rPr>
                <w:rFonts w:eastAsia="Calibri"/>
                <w:b/>
                <w:sz w:val="18"/>
                <w:szCs w:val="20"/>
              </w:rPr>
            </w:pPr>
          </w:p>
        </w:tc>
        <w:tc>
          <w:tcPr>
            <w:tcW w:w="1350" w:type="dxa"/>
            <w:vMerge/>
            <w:vAlign w:val="center"/>
          </w:tcPr>
          <w:p w14:paraId="7AB9E9C7" w14:textId="77777777" w:rsidR="00250499" w:rsidRPr="00557C49" w:rsidRDefault="00250499" w:rsidP="004D3659">
            <w:pPr>
              <w:widowControl/>
              <w:tabs>
                <w:tab w:val="left" w:pos="3150"/>
              </w:tabs>
              <w:autoSpaceDE/>
              <w:autoSpaceDN/>
              <w:adjustRightInd/>
              <w:spacing w:after="120"/>
              <w:rPr>
                <w:rFonts w:eastAsia="Calibri"/>
                <w:b/>
                <w:sz w:val="18"/>
                <w:szCs w:val="18"/>
              </w:rPr>
            </w:pPr>
          </w:p>
        </w:tc>
      </w:tr>
      <w:tr w:rsidR="004F55E8" w:rsidRPr="007A4B19" w14:paraId="3D0376D2" w14:textId="77777777" w:rsidTr="0014363D">
        <w:trPr>
          <w:cantSplit/>
          <w:jc w:val="center"/>
        </w:trPr>
        <w:tc>
          <w:tcPr>
            <w:tcW w:w="2875" w:type="dxa"/>
            <w:vMerge/>
          </w:tcPr>
          <w:p w14:paraId="489D9778" w14:textId="77777777" w:rsidR="00250499" w:rsidRPr="00557C49" w:rsidRDefault="00250499" w:rsidP="004D3659">
            <w:pPr>
              <w:widowControl/>
              <w:tabs>
                <w:tab w:val="left" w:pos="3150"/>
              </w:tabs>
              <w:autoSpaceDE/>
              <w:autoSpaceDN/>
              <w:adjustRightInd/>
              <w:spacing w:after="120"/>
              <w:rPr>
                <w:rFonts w:eastAsia="Calibri"/>
                <w:b/>
                <w:sz w:val="18"/>
                <w:szCs w:val="18"/>
              </w:rPr>
            </w:pPr>
          </w:p>
        </w:tc>
        <w:tc>
          <w:tcPr>
            <w:tcW w:w="5760" w:type="dxa"/>
            <w:vAlign w:val="center"/>
          </w:tcPr>
          <w:p w14:paraId="60C8BCA5" w14:textId="061906EE" w:rsidR="00250499" w:rsidRPr="00FE5C2D" w:rsidRDefault="00250499" w:rsidP="000567A5">
            <w:pPr>
              <w:pStyle w:val="ListParagraph"/>
              <w:widowControl/>
              <w:numPr>
                <w:ilvl w:val="1"/>
                <w:numId w:val="54"/>
              </w:numPr>
              <w:autoSpaceDE/>
              <w:autoSpaceDN/>
              <w:adjustRightInd/>
              <w:jc w:val="left"/>
              <w:rPr>
                <w:color w:val="000000"/>
                <w:sz w:val="18"/>
                <w:szCs w:val="18"/>
              </w:rPr>
            </w:pPr>
            <w:r w:rsidRPr="00FE5C2D">
              <w:rPr>
                <w:color w:val="000000"/>
                <w:sz w:val="18"/>
                <w:szCs w:val="18"/>
              </w:rPr>
              <w:t xml:space="preserve">GSA </w:t>
            </w:r>
            <w:r w:rsidR="000E692D">
              <w:rPr>
                <w:sz w:val="18"/>
                <w:szCs w:val="18"/>
              </w:rPr>
              <w:t>SB</w:t>
            </w:r>
          </w:p>
        </w:tc>
        <w:tc>
          <w:tcPr>
            <w:tcW w:w="540" w:type="dxa"/>
            <w:vMerge/>
          </w:tcPr>
          <w:p w14:paraId="0FF9EEEB" w14:textId="77777777" w:rsidR="00250499" w:rsidRPr="00C510B5" w:rsidRDefault="00250499" w:rsidP="004D3659">
            <w:pPr>
              <w:widowControl/>
              <w:tabs>
                <w:tab w:val="left" w:pos="3150"/>
              </w:tabs>
              <w:autoSpaceDE/>
              <w:autoSpaceDN/>
              <w:adjustRightInd/>
              <w:spacing w:after="120"/>
              <w:rPr>
                <w:rFonts w:eastAsia="Calibri"/>
                <w:b/>
                <w:sz w:val="18"/>
                <w:szCs w:val="20"/>
              </w:rPr>
            </w:pPr>
          </w:p>
        </w:tc>
        <w:tc>
          <w:tcPr>
            <w:tcW w:w="1350" w:type="dxa"/>
            <w:vMerge/>
            <w:vAlign w:val="center"/>
          </w:tcPr>
          <w:p w14:paraId="024F7335" w14:textId="77777777" w:rsidR="00250499" w:rsidRPr="00557C49" w:rsidRDefault="00250499" w:rsidP="004D3659">
            <w:pPr>
              <w:widowControl/>
              <w:tabs>
                <w:tab w:val="left" w:pos="3150"/>
              </w:tabs>
              <w:autoSpaceDE/>
              <w:autoSpaceDN/>
              <w:adjustRightInd/>
              <w:spacing w:after="120"/>
              <w:rPr>
                <w:rFonts w:eastAsia="Calibri"/>
                <w:b/>
                <w:sz w:val="18"/>
                <w:szCs w:val="18"/>
              </w:rPr>
            </w:pPr>
          </w:p>
        </w:tc>
      </w:tr>
      <w:tr w:rsidR="004F55E8" w:rsidRPr="007A4B19" w14:paraId="6060E187" w14:textId="77777777" w:rsidTr="0014363D">
        <w:trPr>
          <w:cantSplit/>
          <w:jc w:val="center"/>
        </w:trPr>
        <w:tc>
          <w:tcPr>
            <w:tcW w:w="2875" w:type="dxa"/>
            <w:vMerge/>
          </w:tcPr>
          <w:p w14:paraId="48F22378" w14:textId="77777777" w:rsidR="00250499" w:rsidRPr="00557C49" w:rsidRDefault="00250499" w:rsidP="004D3659">
            <w:pPr>
              <w:widowControl/>
              <w:tabs>
                <w:tab w:val="left" w:pos="3150"/>
              </w:tabs>
              <w:autoSpaceDE/>
              <w:autoSpaceDN/>
              <w:adjustRightInd/>
              <w:spacing w:after="120"/>
              <w:rPr>
                <w:rFonts w:eastAsia="Calibri"/>
                <w:b/>
                <w:sz w:val="18"/>
                <w:szCs w:val="18"/>
              </w:rPr>
            </w:pPr>
          </w:p>
        </w:tc>
        <w:tc>
          <w:tcPr>
            <w:tcW w:w="5760" w:type="dxa"/>
            <w:vAlign w:val="center"/>
          </w:tcPr>
          <w:p w14:paraId="0C478086" w14:textId="77777777" w:rsidR="00250499" w:rsidRPr="00C510B5" w:rsidRDefault="00250499" w:rsidP="000567A5">
            <w:pPr>
              <w:pStyle w:val="ListParagraph"/>
              <w:widowControl/>
              <w:numPr>
                <w:ilvl w:val="1"/>
                <w:numId w:val="54"/>
              </w:numPr>
              <w:autoSpaceDE/>
              <w:autoSpaceDN/>
              <w:adjustRightInd/>
              <w:jc w:val="left"/>
              <w:rPr>
                <w:color w:val="000000"/>
                <w:sz w:val="18"/>
                <w:szCs w:val="20"/>
              </w:rPr>
            </w:pPr>
            <w:r w:rsidRPr="00C510B5">
              <w:rPr>
                <w:color w:val="000000"/>
                <w:sz w:val="18"/>
                <w:szCs w:val="20"/>
              </w:rPr>
              <w:t>Consultant support</w:t>
            </w:r>
          </w:p>
        </w:tc>
        <w:tc>
          <w:tcPr>
            <w:tcW w:w="540" w:type="dxa"/>
            <w:vMerge/>
          </w:tcPr>
          <w:p w14:paraId="2E1A448F" w14:textId="77777777" w:rsidR="00250499" w:rsidRPr="00C510B5" w:rsidRDefault="00250499" w:rsidP="004D3659">
            <w:pPr>
              <w:widowControl/>
              <w:tabs>
                <w:tab w:val="left" w:pos="3150"/>
              </w:tabs>
              <w:autoSpaceDE/>
              <w:autoSpaceDN/>
              <w:adjustRightInd/>
              <w:spacing w:after="120"/>
              <w:rPr>
                <w:rFonts w:eastAsia="Calibri"/>
                <w:b/>
                <w:sz w:val="18"/>
                <w:szCs w:val="20"/>
              </w:rPr>
            </w:pPr>
          </w:p>
        </w:tc>
        <w:tc>
          <w:tcPr>
            <w:tcW w:w="1350" w:type="dxa"/>
            <w:vMerge/>
            <w:vAlign w:val="center"/>
          </w:tcPr>
          <w:p w14:paraId="40C4FE69" w14:textId="77777777" w:rsidR="00250499" w:rsidRPr="00557C49" w:rsidRDefault="00250499" w:rsidP="004D3659">
            <w:pPr>
              <w:widowControl/>
              <w:tabs>
                <w:tab w:val="left" w:pos="3150"/>
              </w:tabs>
              <w:autoSpaceDE/>
              <w:autoSpaceDN/>
              <w:adjustRightInd/>
              <w:spacing w:after="120"/>
              <w:rPr>
                <w:rFonts w:eastAsia="Calibri"/>
                <w:b/>
                <w:sz w:val="18"/>
                <w:szCs w:val="18"/>
              </w:rPr>
            </w:pPr>
          </w:p>
        </w:tc>
      </w:tr>
      <w:tr w:rsidR="004F55E8" w:rsidRPr="007A4B19" w14:paraId="15B54E38" w14:textId="77777777" w:rsidTr="0014363D">
        <w:trPr>
          <w:cantSplit/>
          <w:jc w:val="center"/>
        </w:trPr>
        <w:tc>
          <w:tcPr>
            <w:tcW w:w="2875" w:type="dxa"/>
            <w:vMerge/>
          </w:tcPr>
          <w:p w14:paraId="7FB8DAA5" w14:textId="77777777" w:rsidR="00250499" w:rsidRPr="00557C49" w:rsidRDefault="00250499" w:rsidP="004D3659">
            <w:pPr>
              <w:widowControl/>
              <w:tabs>
                <w:tab w:val="left" w:pos="3150"/>
              </w:tabs>
              <w:autoSpaceDE/>
              <w:autoSpaceDN/>
              <w:adjustRightInd/>
              <w:spacing w:after="120"/>
              <w:rPr>
                <w:rFonts w:eastAsia="Calibri"/>
                <w:b/>
                <w:sz w:val="18"/>
                <w:szCs w:val="18"/>
              </w:rPr>
            </w:pPr>
          </w:p>
        </w:tc>
        <w:tc>
          <w:tcPr>
            <w:tcW w:w="5760" w:type="dxa"/>
            <w:vAlign w:val="center"/>
          </w:tcPr>
          <w:p w14:paraId="71A8EDA4" w14:textId="77777777" w:rsidR="00250499" w:rsidRPr="00C510B5" w:rsidRDefault="00250499" w:rsidP="000567A5">
            <w:pPr>
              <w:pStyle w:val="ListParagraph"/>
              <w:widowControl/>
              <w:numPr>
                <w:ilvl w:val="1"/>
                <w:numId w:val="54"/>
              </w:numPr>
              <w:autoSpaceDE/>
              <w:autoSpaceDN/>
              <w:adjustRightInd/>
              <w:jc w:val="left"/>
              <w:rPr>
                <w:color w:val="000000"/>
                <w:sz w:val="18"/>
                <w:szCs w:val="20"/>
              </w:rPr>
            </w:pPr>
            <w:r w:rsidRPr="00C510B5">
              <w:rPr>
                <w:color w:val="000000"/>
                <w:sz w:val="18"/>
                <w:szCs w:val="20"/>
              </w:rPr>
              <w:t>TCC</w:t>
            </w:r>
          </w:p>
        </w:tc>
        <w:tc>
          <w:tcPr>
            <w:tcW w:w="540" w:type="dxa"/>
            <w:vMerge/>
          </w:tcPr>
          <w:p w14:paraId="78B19699" w14:textId="77777777" w:rsidR="00250499" w:rsidRPr="00C510B5" w:rsidRDefault="00250499" w:rsidP="004D3659">
            <w:pPr>
              <w:widowControl/>
              <w:tabs>
                <w:tab w:val="left" w:pos="3150"/>
              </w:tabs>
              <w:autoSpaceDE/>
              <w:autoSpaceDN/>
              <w:adjustRightInd/>
              <w:spacing w:after="120"/>
              <w:rPr>
                <w:rFonts w:eastAsia="Calibri"/>
                <w:b/>
                <w:sz w:val="18"/>
                <w:szCs w:val="20"/>
              </w:rPr>
            </w:pPr>
          </w:p>
        </w:tc>
        <w:tc>
          <w:tcPr>
            <w:tcW w:w="1350" w:type="dxa"/>
            <w:vMerge/>
            <w:vAlign w:val="center"/>
          </w:tcPr>
          <w:p w14:paraId="4FEB6CAF" w14:textId="77777777" w:rsidR="00250499" w:rsidRPr="00557C49" w:rsidRDefault="00250499" w:rsidP="004D3659">
            <w:pPr>
              <w:widowControl/>
              <w:tabs>
                <w:tab w:val="left" w:pos="3150"/>
              </w:tabs>
              <w:autoSpaceDE/>
              <w:autoSpaceDN/>
              <w:adjustRightInd/>
              <w:spacing w:after="120"/>
              <w:rPr>
                <w:rFonts w:eastAsia="Calibri"/>
                <w:b/>
                <w:sz w:val="18"/>
                <w:szCs w:val="18"/>
              </w:rPr>
            </w:pPr>
          </w:p>
        </w:tc>
      </w:tr>
      <w:tr w:rsidR="004F55E8" w:rsidRPr="007A4B19" w14:paraId="7A3023A2" w14:textId="77777777" w:rsidTr="0014363D">
        <w:trPr>
          <w:cantSplit/>
          <w:jc w:val="center"/>
        </w:trPr>
        <w:tc>
          <w:tcPr>
            <w:tcW w:w="2875" w:type="dxa"/>
            <w:vMerge/>
          </w:tcPr>
          <w:p w14:paraId="6786693F" w14:textId="77777777" w:rsidR="00250499" w:rsidRPr="00557C49" w:rsidRDefault="00250499" w:rsidP="004D3659">
            <w:pPr>
              <w:widowControl/>
              <w:tabs>
                <w:tab w:val="left" w:pos="3150"/>
              </w:tabs>
              <w:autoSpaceDE/>
              <w:autoSpaceDN/>
              <w:adjustRightInd/>
              <w:spacing w:after="120"/>
              <w:rPr>
                <w:rFonts w:eastAsia="Calibri"/>
                <w:b/>
                <w:sz w:val="18"/>
                <w:szCs w:val="18"/>
              </w:rPr>
            </w:pPr>
          </w:p>
        </w:tc>
        <w:tc>
          <w:tcPr>
            <w:tcW w:w="5760" w:type="dxa"/>
            <w:vAlign w:val="center"/>
          </w:tcPr>
          <w:p w14:paraId="2A808ADA" w14:textId="105891A8" w:rsidR="00250499" w:rsidRPr="00C510B5" w:rsidRDefault="00250499" w:rsidP="000567A5">
            <w:pPr>
              <w:pStyle w:val="ListParagraph"/>
              <w:widowControl/>
              <w:numPr>
                <w:ilvl w:val="0"/>
                <w:numId w:val="50"/>
              </w:numPr>
              <w:autoSpaceDE/>
              <w:autoSpaceDN/>
              <w:adjustRightInd/>
              <w:jc w:val="left"/>
              <w:rPr>
                <w:color w:val="000000"/>
                <w:sz w:val="18"/>
                <w:szCs w:val="20"/>
              </w:rPr>
            </w:pPr>
            <w:r w:rsidRPr="00C510B5">
              <w:rPr>
                <w:color w:val="000000"/>
                <w:sz w:val="18"/>
                <w:szCs w:val="20"/>
              </w:rPr>
              <w:t xml:space="preserve">Participate in Quarterly </w:t>
            </w:r>
            <w:r w:rsidR="00B25A7C">
              <w:rPr>
                <w:color w:val="000000"/>
                <w:sz w:val="18"/>
                <w:szCs w:val="20"/>
              </w:rPr>
              <w:t>IAA</w:t>
            </w:r>
            <w:r w:rsidRPr="00C510B5">
              <w:rPr>
                <w:color w:val="000000"/>
                <w:sz w:val="18"/>
                <w:szCs w:val="20"/>
              </w:rPr>
              <w:t xml:space="preserve"> reviews (recurring)</w:t>
            </w:r>
          </w:p>
        </w:tc>
        <w:tc>
          <w:tcPr>
            <w:tcW w:w="540" w:type="dxa"/>
            <w:vMerge/>
          </w:tcPr>
          <w:p w14:paraId="205B956E" w14:textId="77777777" w:rsidR="00250499" w:rsidRPr="00C510B5" w:rsidRDefault="00250499" w:rsidP="004D3659">
            <w:pPr>
              <w:widowControl/>
              <w:tabs>
                <w:tab w:val="left" w:pos="3150"/>
              </w:tabs>
              <w:autoSpaceDE/>
              <w:autoSpaceDN/>
              <w:adjustRightInd/>
              <w:spacing w:after="120"/>
              <w:rPr>
                <w:rFonts w:eastAsia="Calibri"/>
                <w:b/>
                <w:sz w:val="18"/>
                <w:szCs w:val="20"/>
              </w:rPr>
            </w:pPr>
          </w:p>
        </w:tc>
        <w:tc>
          <w:tcPr>
            <w:tcW w:w="1350" w:type="dxa"/>
            <w:vMerge/>
            <w:vAlign w:val="center"/>
          </w:tcPr>
          <w:p w14:paraId="74805454" w14:textId="77777777" w:rsidR="00250499" w:rsidRPr="00557C49" w:rsidRDefault="00250499" w:rsidP="004D3659">
            <w:pPr>
              <w:widowControl/>
              <w:tabs>
                <w:tab w:val="left" w:pos="3150"/>
              </w:tabs>
              <w:autoSpaceDE/>
              <w:autoSpaceDN/>
              <w:adjustRightInd/>
              <w:spacing w:after="120"/>
              <w:rPr>
                <w:rFonts w:eastAsia="Calibri"/>
                <w:b/>
                <w:sz w:val="18"/>
                <w:szCs w:val="18"/>
              </w:rPr>
            </w:pPr>
          </w:p>
        </w:tc>
      </w:tr>
      <w:tr w:rsidR="004F55E8" w:rsidRPr="007A4B19" w14:paraId="68AAEA27" w14:textId="77777777" w:rsidTr="0014363D">
        <w:trPr>
          <w:cantSplit/>
          <w:jc w:val="center"/>
        </w:trPr>
        <w:tc>
          <w:tcPr>
            <w:tcW w:w="2875" w:type="dxa"/>
            <w:vMerge w:val="restart"/>
            <w:shd w:val="clear" w:color="auto" w:fill="DBE5F1" w:themeFill="accent1" w:themeFillTint="33"/>
            <w:vAlign w:val="center"/>
          </w:tcPr>
          <w:p w14:paraId="23D3E747" w14:textId="382B9BD5" w:rsidR="00250499" w:rsidRPr="00E436C5" w:rsidRDefault="00250499" w:rsidP="00844874">
            <w:pPr>
              <w:widowControl/>
              <w:tabs>
                <w:tab w:val="left" w:pos="3150"/>
              </w:tabs>
              <w:autoSpaceDE/>
              <w:autoSpaceDN/>
              <w:adjustRightInd/>
              <w:spacing w:after="120"/>
              <w:jc w:val="left"/>
              <w:rPr>
                <w:rFonts w:eastAsia="Calibri"/>
                <w:sz w:val="18"/>
              </w:rPr>
            </w:pPr>
            <w:r w:rsidRPr="00E436C5">
              <w:rPr>
                <w:rFonts w:eastAsia="Calibri"/>
                <w:sz w:val="18"/>
              </w:rPr>
              <w:t xml:space="preserve">Agency OCOs </w:t>
            </w:r>
            <w:r w:rsidR="00844874" w:rsidRPr="00557C49">
              <w:rPr>
                <w:rFonts w:eastAsia="Calibri"/>
                <w:sz w:val="18"/>
                <w:szCs w:val="18"/>
              </w:rPr>
              <w:t>receive</w:t>
            </w:r>
            <w:r w:rsidR="00844874" w:rsidRPr="00E436C5">
              <w:rPr>
                <w:rFonts w:eastAsia="Calibri"/>
                <w:sz w:val="18"/>
              </w:rPr>
              <w:t xml:space="preserve"> </w:t>
            </w:r>
            <w:r w:rsidRPr="00E436C5">
              <w:rPr>
                <w:rFonts w:eastAsia="Calibri"/>
                <w:sz w:val="18"/>
              </w:rPr>
              <w:t>Delegation of Procurement Authority</w:t>
            </w:r>
          </w:p>
        </w:tc>
        <w:tc>
          <w:tcPr>
            <w:tcW w:w="5760" w:type="dxa"/>
            <w:shd w:val="clear" w:color="auto" w:fill="DBE5F1" w:themeFill="accent1" w:themeFillTint="33"/>
          </w:tcPr>
          <w:p w14:paraId="135C5827" w14:textId="77777777" w:rsidR="00250499" w:rsidRPr="00A47E54" w:rsidRDefault="00250499" w:rsidP="000567A5">
            <w:pPr>
              <w:pStyle w:val="ListParagraph"/>
              <w:widowControl/>
              <w:numPr>
                <w:ilvl w:val="0"/>
                <w:numId w:val="46"/>
              </w:numPr>
              <w:autoSpaceDE/>
              <w:autoSpaceDN/>
              <w:adjustRightInd/>
              <w:jc w:val="left"/>
              <w:rPr>
                <w:color w:val="000000"/>
                <w:sz w:val="18"/>
                <w:szCs w:val="18"/>
              </w:rPr>
            </w:pPr>
            <w:r w:rsidRPr="00A47E54">
              <w:rPr>
                <w:color w:val="000000"/>
                <w:sz w:val="18"/>
                <w:szCs w:val="18"/>
              </w:rPr>
              <w:t>Identify the OCO for each FO Decision</w:t>
            </w:r>
          </w:p>
        </w:tc>
        <w:sdt>
          <w:sdtPr>
            <w:rPr>
              <w:rFonts w:ascii="Segoe UI Symbol" w:eastAsia="MS Gothic" w:hAnsi="Segoe UI Symbol" w:cs="Segoe UI Symbol"/>
              <w:sz w:val="20"/>
              <w:szCs w:val="20"/>
            </w:rPr>
            <w:id w:val="1792632152"/>
            <w14:checkbox>
              <w14:checked w14:val="0"/>
              <w14:checkedState w14:val="00FE" w14:font="Wingdings"/>
              <w14:uncheckedState w14:val="2610" w14:font="MS Gothic"/>
            </w14:checkbox>
          </w:sdtPr>
          <w:sdtEndPr/>
          <w:sdtContent>
            <w:tc>
              <w:tcPr>
                <w:tcW w:w="540" w:type="dxa"/>
                <w:vMerge w:val="restart"/>
                <w:shd w:val="clear" w:color="auto" w:fill="DBE5F1" w:themeFill="accent1" w:themeFillTint="33"/>
                <w:vAlign w:val="center"/>
              </w:tcPr>
              <w:p w14:paraId="58AE7CF9" w14:textId="19401602" w:rsidR="00250499" w:rsidRPr="00A23B3F" w:rsidRDefault="000B708C" w:rsidP="004D3659">
                <w:pPr>
                  <w:widowControl/>
                  <w:tabs>
                    <w:tab w:val="left" w:pos="3150"/>
                  </w:tabs>
                  <w:autoSpaceDE/>
                  <w:autoSpaceDN/>
                  <w:adjustRightInd/>
                  <w:spacing w:after="120"/>
                  <w:jc w:val="center"/>
                  <w:rPr>
                    <w:rFonts w:eastAsia="Calibri"/>
                    <w:b/>
                    <w:sz w:val="20"/>
                    <w:szCs w:val="20"/>
                  </w:rPr>
                </w:pPr>
                <w:r w:rsidRPr="00A23B3F">
                  <w:rPr>
                    <w:rFonts w:ascii="Segoe UI Symbol" w:eastAsia="MS Gothic" w:hAnsi="Segoe UI Symbol" w:cs="Segoe UI Symbol"/>
                    <w:sz w:val="20"/>
                    <w:szCs w:val="20"/>
                  </w:rPr>
                  <w:t>☐</w:t>
                </w:r>
              </w:p>
            </w:tc>
          </w:sdtContent>
        </w:sdt>
        <w:tc>
          <w:tcPr>
            <w:tcW w:w="1350" w:type="dxa"/>
            <w:vMerge w:val="restart"/>
            <w:shd w:val="clear" w:color="auto" w:fill="DBE5F1" w:themeFill="accent1" w:themeFillTint="33"/>
            <w:vAlign w:val="center"/>
          </w:tcPr>
          <w:p w14:paraId="38FD4E20" w14:textId="77777777" w:rsidR="00250499" w:rsidRPr="00E436C5" w:rsidRDefault="00250499" w:rsidP="004D3659">
            <w:pPr>
              <w:widowControl/>
              <w:tabs>
                <w:tab w:val="left" w:pos="3150"/>
              </w:tabs>
              <w:autoSpaceDE/>
              <w:autoSpaceDN/>
              <w:adjustRightInd/>
              <w:spacing w:after="120"/>
              <w:jc w:val="center"/>
              <w:rPr>
                <w:rFonts w:eastAsia="Calibri"/>
                <w:sz w:val="18"/>
              </w:rPr>
            </w:pPr>
            <w:r w:rsidRPr="00E436C5">
              <w:rPr>
                <w:rFonts w:eastAsia="Calibri"/>
                <w:sz w:val="18"/>
              </w:rPr>
              <w:t>Aug 2017</w:t>
            </w:r>
          </w:p>
        </w:tc>
      </w:tr>
      <w:tr w:rsidR="004F55E8" w:rsidRPr="007A4B19" w14:paraId="7E7A9A90" w14:textId="77777777" w:rsidTr="0014363D">
        <w:trPr>
          <w:cantSplit/>
          <w:jc w:val="center"/>
        </w:trPr>
        <w:tc>
          <w:tcPr>
            <w:tcW w:w="2875" w:type="dxa"/>
            <w:vMerge/>
            <w:shd w:val="clear" w:color="auto" w:fill="DBE5F1" w:themeFill="accent1" w:themeFillTint="33"/>
          </w:tcPr>
          <w:p w14:paraId="7FE5D3C6" w14:textId="77777777" w:rsidR="00250499" w:rsidRPr="00557C49" w:rsidRDefault="00250499" w:rsidP="004D3659">
            <w:pPr>
              <w:widowControl/>
              <w:tabs>
                <w:tab w:val="left" w:pos="3150"/>
              </w:tabs>
              <w:autoSpaceDE/>
              <w:autoSpaceDN/>
              <w:adjustRightInd/>
              <w:spacing w:after="120"/>
              <w:rPr>
                <w:rFonts w:eastAsia="Calibri"/>
                <w:b/>
                <w:sz w:val="18"/>
                <w:szCs w:val="18"/>
              </w:rPr>
            </w:pPr>
          </w:p>
        </w:tc>
        <w:tc>
          <w:tcPr>
            <w:tcW w:w="5760" w:type="dxa"/>
            <w:shd w:val="clear" w:color="auto" w:fill="DBE5F1" w:themeFill="accent1" w:themeFillTint="33"/>
          </w:tcPr>
          <w:p w14:paraId="2EFA4B91" w14:textId="77777777" w:rsidR="00250499" w:rsidRPr="00C510B5" w:rsidRDefault="00250499" w:rsidP="000567A5">
            <w:pPr>
              <w:pStyle w:val="ListParagraph"/>
              <w:widowControl/>
              <w:numPr>
                <w:ilvl w:val="0"/>
                <w:numId w:val="46"/>
              </w:numPr>
              <w:autoSpaceDE/>
              <w:autoSpaceDN/>
              <w:adjustRightInd/>
              <w:jc w:val="left"/>
              <w:rPr>
                <w:color w:val="000000"/>
                <w:sz w:val="18"/>
                <w:szCs w:val="20"/>
              </w:rPr>
            </w:pPr>
            <w:r w:rsidRPr="00C510B5">
              <w:rPr>
                <w:color w:val="000000"/>
                <w:sz w:val="18"/>
                <w:szCs w:val="20"/>
              </w:rPr>
              <w:t>Each OCO completes DPA training on DAU (FAC066)</w:t>
            </w:r>
          </w:p>
        </w:tc>
        <w:tc>
          <w:tcPr>
            <w:tcW w:w="540" w:type="dxa"/>
            <w:vMerge/>
            <w:shd w:val="clear" w:color="auto" w:fill="DBE5F1" w:themeFill="accent1" w:themeFillTint="33"/>
          </w:tcPr>
          <w:p w14:paraId="5331BE3C" w14:textId="77777777" w:rsidR="00250499" w:rsidRPr="00C510B5" w:rsidRDefault="00250499" w:rsidP="004D3659">
            <w:pPr>
              <w:widowControl/>
              <w:tabs>
                <w:tab w:val="left" w:pos="3150"/>
              </w:tabs>
              <w:autoSpaceDE/>
              <w:autoSpaceDN/>
              <w:adjustRightInd/>
              <w:spacing w:after="120"/>
              <w:rPr>
                <w:rFonts w:eastAsia="Calibri"/>
                <w:b/>
                <w:sz w:val="18"/>
                <w:szCs w:val="20"/>
              </w:rPr>
            </w:pPr>
          </w:p>
        </w:tc>
        <w:tc>
          <w:tcPr>
            <w:tcW w:w="1350" w:type="dxa"/>
            <w:vMerge/>
            <w:shd w:val="clear" w:color="auto" w:fill="DBE5F1" w:themeFill="accent1" w:themeFillTint="33"/>
            <w:vAlign w:val="center"/>
          </w:tcPr>
          <w:p w14:paraId="365BE55B" w14:textId="77777777" w:rsidR="00250499" w:rsidRPr="00557C49" w:rsidRDefault="00250499" w:rsidP="004D3659">
            <w:pPr>
              <w:widowControl/>
              <w:tabs>
                <w:tab w:val="left" w:pos="3150"/>
              </w:tabs>
              <w:autoSpaceDE/>
              <w:autoSpaceDN/>
              <w:adjustRightInd/>
              <w:spacing w:after="120"/>
              <w:rPr>
                <w:rFonts w:eastAsia="Calibri"/>
                <w:b/>
                <w:sz w:val="18"/>
                <w:szCs w:val="18"/>
              </w:rPr>
            </w:pPr>
          </w:p>
        </w:tc>
      </w:tr>
      <w:tr w:rsidR="004F55E8" w:rsidRPr="007A4B19" w14:paraId="2DE86D26" w14:textId="77777777" w:rsidTr="0014363D">
        <w:trPr>
          <w:cantSplit/>
          <w:jc w:val="center"/>
        </w:trPr>
        <w:tc>
          <w:tcPr>
            <w:tcW w:w="2875" w:type="dxa"/>
            <w:vMerge/>
            <w:shd w:val="clear" w:color="auto" w:fill="DBE5F1" w:themeFill="accent1" w:themeFillTint="33"/>
          </w:tcPr>
          <w:p w14:paraId="40888398" w14:textId="77777777" w:rsidR="00250499" w:rsidRPr="00557C49" w:rsidRDefault="00250499" w:rsidP="004D3659">
            <w:pPr>
              <w:widowControl/>
              <w:tabs>
                <w:tab w:val="left" w:pos="3150"/>
              </w:tabs>
              <w:autoSpaceDE/>
              <w:autoSpaceDN/>
              <w:adjustRightInd/>
              <w:spacing w:after="120"/>
              <w:rPr>
                <w:rFonts w:eastAsia="Calibri"/>
                <w:b/>
                <w:sz w:val="18"/>
                <w:szCs w:val="18"/>
              </w:rPr>
            </w:pPr>
          </w:p>
        </w:tc>
        <w:tc>
          <w:tcPr>
            <w:tcW w:w="5760" w:type="dxa"/>
            <w:shd w:val="clear" w:color="auto" w:fill="DBE5F1" w:themeFill="accent1" w:themeFillTint="33"/>
            <w:vAlign w:val="center"/>
          </w:tcPr>
          <w:p w14:paraId="502D2CAB" w14:textId="77777777" w:rsidR="00250499" w:rsidRPr="00C510B5" w:rsidRDefault="00250499" w:rsidP="000567A5">
            <w:pPr>
              <w:pStyle w:val="ListParagraph"/>
              <w:widowControl/>
              <w:numPr>
                <w:ilvl w:val="0"/>
                <w:numId w:val="46"/>
              </w:numPr>
              <w:autoSpaceDE/>
              <w:autoSpaceDN/>
              <w:adjustRightInd/>
              <w:jc w:val="left"/>
              <w:rPr>
                <w:color w:val="000000"/>
                <w:sz w:val="18"/>
                <w:szCs w:val="20"/>
              </w:rPr>
            </w:pPr>
            <w:r w:rsidRPr="00C510B5">
              <w:rPr>
                <w:color w:val="000000"/>
                <w:sz w:val="18"/>
                <w:szCs w:val="20"/>
              </w:rPr>
              <w:t>Request DPA using Request Form (hyperlink to form available on www.gsa.gov/eis)</w:t>
            </w:r>
          </w:p>
        </w:tc>
        <w:tc>
          <w:tcPr>
            <w:tcW w:w="540" w:type="dxa"/>
            <w:vMerge/>
            <w:shd w:val="clear" w:color="auto" w:fill="DBE5F1" w:themeFill="accent1" w:themeFillTint="33"/>
          </w:tcPr>
          <w:p w14:paraId="70177CC7" w14:textId="77777777" w:rsidR="00250499" w:rsidRPr="00C510B5" w:rsidRDefault="00250499" w:rsidP="004D3659">
            <w:pPr>
              <w:widowControl/>
              <w:tabs>
                <w:tab w:val="left" w:pos="3150"/>
              </w:tabs>
              <w:autoSpaceDE/>
              <w:autoSpaceDN/>
              <w:adjustRightInd/>
              <w:spacing w:after="120"/>
              <w:rPr>
                <w:rFonts w:eastAsia="Calibri"/>
                <w:b/>
                <w:sz w:val="18"/>
                <w:szCs w:val="20"/>
              </w:rPr>
            </w:pPr>
          </w:p>
        </w:tc>
        <w:tc>
          <w:tcPr>
            <w:tcW w:w="1350" w:type="dxa"/>
            <w:vMerge/>
            <w:shd w:val="clear" w:color="auto" w:fill="DBE5F1" w:themeFill="accent1" w:themeFillTint="33"/>
            <w:vAlign w:val="center"/>
          </w:tcPr>
          <w:p w14:paraId="501AC445" w14:textId="77777777" w:rsidR="00250499" w:rsidRPr="00557C49" w:rsidRDefault="00250499" w:rsidP="004D3659">
            <w:pPr>
              <w:widowControl/>
              <w:tabs>
                <w:tab w:val="left" w:pos="3150"/>
              </w:tabs>
              <w:autoSpaceDE/>
              <w:autoSpaceDN/>
              <w:adjustRightInd/>
              <w:spacing w:after="120"/>
              <w:rPr>
                <w:rFonts w:eastAsia="Calibri"/>
                <w:b/>
                <w:sz w:val="18"/>
                <w:szCs w:val="18"/>
              </w:rPr>
            </w:pPr>
          </w:p>
        </w:tc>
      </w:tr>
      <w:tr w:rsidR="004F55E8" w:rsidRPr="007A4B19" w14:paraId="213C7F7F" w14:textId="77777777" w:rsidTr="0014363D">
        <w:trPr>
          <w:cantSplit/>
          <w:jc w:val="center"/>
        </w:trPr>
        <w:tc>
          <w:tcPr>
            <w:tcW w:w="2875" w:type="dxa"/>
            <w:vMerge/>
            <w:shd w:val="clear" w:color="auto" w:fill="DBE5F1" w:themeFill="accent1" w:themeFillTint="33"/>
          </w:tcPr>
          <w:p w14:paraId="48B01BBA" w14:textId="77777777" w:rsidR="00250499" w:rsidRPr="00557C49" w:rsidRDefault="00250499" w:rsidP="004D3659">
            <w:pPr>
              <w:widowControl/>
              <w:tabs>
                <w:tab w:val="left" w:pos="3150"/>
              </w:tabs>
              <w:autoSpaceDE/>
              <w:autoSpaceDN/>
              <w:adjustRightInd/>
              <w:spacing w:after="120"/>
              <w:rPr>
                <w:rFonts w:eastAsia="Calibri"/>
                <w:b/>
                <w:sz w:val="18"/>
                <w:szCs w:val="18"/>
              </w:rPr>
            </w:pPr>
          </w:p>
        </w:tc>
        <w:tc>
          <w:tcPr>
            <w:tcW w:w="5760" w:type="dxa"/>
            <w:shd w:val="clear" w:color="auto" w:fill="DBE5F1" w:themeFill="accent1" w:themeFillTint="33"/>
            <w:vAlign w:val="center"/>
          </w:tcPr>
          <w:p w14:paraId="27248F01" w14:textId="77777777" w:rsidR="00250499" w:rsidRPr="00C510B5" w:rsidRDefault="00250499" w:rsidP="000567A5">
            <w:pPr>
              <w:pStyle w:val="ListParagraph"/>
              <w:widowControl/>
              <w:numPr>
                <w:ilvl w:val="0"/>
                <w:numId w:val="46"/>
              </w:numPr>
              <w:autoSpaceDE/>
              <w:autoSpaceDN/>
              <w:adjustRightInd/>
              <w:jc w:val="left"/>
              <w:rPr>
                <w:color w:val="000000"/>
                <w:sz w:val="18"/>
                <w:szCs w:val="20"/>
              </w:rPr>
            </w:pPr>
            <w:r w:rsidRPr="00C510B5">
              <w:rPr>
                <w:color w:val="000000"/>
                <w:sz w:val="18"/>
                <w:szCs w:val="20"/>
              </w:rPr>
              <w:t>Email EIS DPA training completion certificate to EIS_DPA@gsa.gov</w:t>
            </w:r>
          </w:p>
        </w:tc>
        <w:tc>
          <w:tcPr>
            <w:tcW w:w="540" w:type="dxa"/>
            <w:vMerge/>
            <w:shd w:val="clear" w:color="auto" w:fill="DBE5F1" w:themeFill="accent1" w:themeFillTint="33"/>
          </w:tcPr>
          <w:p w14:paraId="408EEA70" w14:textId="77777777" w:rsidR="00250499" w:rsidRPr="00C510B5" w:rsidRDefault="00250499" w:rsidP="004D3659">
            <w:pPr>
              <w:widowControl/>
              <w:tabs>
                <w:tab w:val="left" w:pos="3150"/>
              </w:tabs>
              <w:autoSpaceDE/>
              <w:autoSpaceDN/>
              <w:adjustRightInd/>
              <w:spacing w:after="120"/>
              <w:rPr>
                <w:rFonts w:eastAsia="Calibri"/>
                <w:b/>
                <w:sz w:val="18"/>
                <w:szCs w:val="20"/>
              </w:rPr>
            </w:pPr>
          </w:p>
        </w:tc>
        <w:tc>
          <w:tcPr>
            <w:tcW w:w="1350" w:type="dxa"/>
            <w:vMerge/>
            <w:shd w:val="clear" w:color="auto" w:fill="DBE5F1" w:themeFill="accent1" w:themeFillTint="33"/>
            <w:vAlign w:val="center"/>
          </w:tcPr>
          <w:p w14:paraId="45C492B2" w14:textId="77777777" w:rsidR="00250499" w:rsidRPr="00557C49" w:rsidRDefault="00250499" w:rsidP="004D3659">
            <w:pPr>
              <w:widowControl/>
              <w:tabs>
                <w:tab w:val="left" w:pos="3150"/>
              </w:tabs>
              <w:autoSpaceDE/>
              <w:autoSpaceDN/>
              <w:adjustRightInd/>
              <w:spacing w:after="120"/>
              <w:rPr>
                <w:rFonts w:eastAsia="Calibri"/>
                <w:b/>
                <w:sz w:val="18"/>
                <w:szCs w:val="18"/>
              </w:rPr>
            </w:pPr>
          </w:p>
        </w:tc>
      </w:tr>
      <w:tr w:rsidR="004F55E8" w:rsidRPr="007A4B19" w14:paraId="628D24AB" w14:textId="77777777" w:rsidTr="0014363D">
        <w:trPr>
          <w:cantSplit/>
          <w:jc w:val="center"/>
        </w:trPr>
        <w:tc>
          <w:tcPr>
            <w:tcW w:w="2875" w:type="dxa"/>
            <w:vMerge/>
            <w:shd w:val="clear" w:color="auto" w:fill="DBE5F1" w:themeFill="accent1" w:themeFillTint="33"/>
          </w:tcPr>
          <w:p w14:paraId="28F3F3E5" w14:textId="77777777" w:rsidR="00250499" w:rsidRPr="00557C49" w:rsidRDefault="00250499" w:rsidP="004D3659">
            <w:pPr>
              <w:widowControl/>
              <w:tabs>
                <w:tab w:val="left" w:pos="3150"/>
              </w:tabs>
              <w:autoSpaceDE/>
              <w:autoSpaceDN/>
              <w:adjustRightInd/>
              <w:spacing w:after="120"/>
              <w:rPr>
                <w:rFonts w:eastAsia="Calibri"/>
                <w:b/>
                <w:sz w:val="18"/>
                <w:szCs w:val="18"/>
              </w:rPr>
            </w:pPr>
          </w:p>
        </w:tc>
        <w:tc>
          <w:tcPr>
            <w:tcW w:w="5760" w:type="dxa"/>
            <w:shd w:val="clear" w:color="auto" w:fill="DBE5F1" w:themeFill="accent1" w:themeFillTint="33"/>
            <w:vAlign w:val="center"/>
          </w:tcPr>
          <w:p w14:paraId="31E059FB" w14:textId="77777777" w:rsidR="00250499" w:rsidRPr="00C510B5" w:rsidRDefault="00250499" w:rsidP="000567A5">
            <w:pPr>
              <w:pStyle w:val="ListParagraph"/>
              <w:widowControl/>
              <w:numPr>
                <w:ilvl w:val="0"/>
                <w:numId w:val="46"/>
              </w:numPr>
              <w:autoSpaceDE/>
              <w:autoSpaceDN/>
              <w:adjustRightInd/>
              <w:jc w:val="left"/>
              <w:rPr>
                <w:color w:val="000000"/>
                <w:sz w:val="18"/>
                <w:szCs w:val="20"/>
              </w:rPr>
            </w:pPr>
            <w:r w:rsidRPr="00C510B5">
              <w:rPr>
                <w:color w:val="000000"/>
                <w:sz w:val="18"/>
                <w:szCs w:val="20"/>
              </w:rPr>
              <w:t>Receive official DPA letter from GSA EIS CO authorizing OCO to issue task orders on EIS</w:t>
            </w:r>
          </w:p>
        </w:tc>
        <w:tc>
          <w:tcPr>
            <w:tcW w:w="540" w:type="dxa"/>
            <w:vMerge/>
            <w:shd w:val="clear" w:color="auto" w:fill="DBE5F1" w:themeFill="accent1" w:themeFillTint="33"/>
          </w:tcPr>
          <w:p w14:paraId="06E8B818" w14:textId="77777777" w:rsidR="00250499" w:rsidRPr="00C510B5" w:rsidRDefault="00250499" w:rsidP="004D3659">
            <w:pPr>
              <w:widowControl/>
              <w:tabs>
                <w:tab w:val="left" w:pos="3150"/>
              </w:tabs>
              <w:autoSpaceDE/>
              <w:autoSpaceDN/>
              <w:adjustRightInd/>
              <w:spacing w:after="120"/>
              <w:rPr>
                <w:rFonts w:eastAsia="Calibri"/>
                <w:b/>
                <w:sz w:val="18"/>
                <w:szCs w:val="20"/>
              </w:rPr>
            </w:pPr>
          </w:p>
        </w:tc>
        <w:tc>
          <w:tcPr>
            <w:tcW w:w="1350" w:type="dxa"/>
            <w:vMerge/>
            <w:shd w:val="clear" w:color="auto" w:fill="DBE5F1" w:themeFill="accent1" w:themeFillTint="33"/>
            <w:vAlign w:val="center"/>
          </w:tcPr>
          <w:p w14:paraId="28EB3641" w14:textId="77777777" w:rsidR="00250499" w:rsidRPr="00557C49" w:rsidRDefault="00250499" w:rsidP="004D3659">
            <w:pPr>
              <w:widowControl/>
              <w:tabs>
                <w:tab w:val="left" w:pos="3150"/>
              </w:tabs>
              <w:autoSpaceDE/>
              <w:autoSpaceDN/>
              <w:adjustRightInd/>
              <w:spacing w:after="120"/>
              <w:rPr>
                <w:rFonts w:eastAsia="Calibri"/>
                <w:b/>
                <w:sz w:val="18"/>
                <w:szCs w:val="18"/>
              </w:rPr>
            </w:pPr>
          </w:p>
        </w:tc>
      </w:tr>
      <w:tr w:rsidR="004F55E8" w:rsidRPr="007A4B19" w14:paraId="3CB5165A" w14:textId="77777777" w:rsidTr="0014363D">
        <w:trPr>
          <w:cantSplit/>
          <w:jc w:val="center"/>
        </w:trPr>
        <w:tc>
          <w:tcPr>
            <w:tcW w:w="2875" w:type="dxa"/>
            <w:vMerge w:val="restart"/>
            <w:vAlign w:val="center"/>
          </w:tcPr>
          <w:p w14:paraId="5BC491C8" w14:textId="0F3A05EB" w:rsidR="006E495C" w:rsidRPr="00E436C5" w:rsidRDefault="006E495C" w:rsidP="00844874">
            <w:pPr>
              <w:widowControl/>
              <w:tabs>
                <w:tab w:val="left" w:pos="3150"/>
              </w:tabs>
              <w:autoSpaceDE/>
              <w:autoSpaceDN/>
              <w:adjustRightInd/>
              <w:spacing w:after="120"/>
              <w:jc w:val="left"/>
              <w:rPr>
                <w:rFonts w:eastAsia="Calibri"/>
                <w:sz w:val="18"/>
              </w:rPr>
            </w:pPr>
            <w:r w:rsidRPr="00E436C5">
              <w:rPr>
                <w:rFonts w:eastAsia="Calibri"/>
                <w:sz w:val="18"/>
              </w:rPr>
              <w:t>Develop FO</w:t>
            </w:r>
            <w:r w:rsidRPr="00557C49">
              <w:rPr>
                <w:rFonts w:eastAsia="Calibri"/>
                <w:sz w:val="18"/>
                <w:szCs w:val="18"/>
              </w:rPr>
              <w:t xml:space="preserve"> </w:t>
            </w:r>
            <w:r w:rsidR="00844874" w:rsidRPr="00557C49">
              <w:rPr>
                <w:rFonts w:eastAsia="Calibri"/>
                <w:sz w:val="18"/>
                <w:szCs w:val="18"/>
              </w:rPr>
              <w:t>solicitations</w:t>
            </w:r>
            <w:r w:rsidR="00844874" w:rsidRPr="00E436C5">
              <w:rPr>
                <w:rFonts w:eastAsia="Calibri"/>
                <w:sz w:val="18"/>
              </w:rPr>
              <w:t xml:space="preserve"> </w:t>
            </w:r>
            <w:r w:rsidRPr="00E436C5">
              <w:rPr>
                <w:rFonts w:eastAsia="Calibri"/>
                <w:sz w:val="18"/>
              </w:rPr>
              <w:t xml:space="preserve">(see </w:t>
            </w:r>
            <w:r w:rsidRPr="00C95436">
              <w:rPr>
                <w:rFonts w:eastAsia="Calibri"/>
                <w:sz w:val="18"/>
                <w:u w:val="single"/>
              </w:rPr>
              <w:t>Fair Opportunity and Ordering Guide</w:t>
            </w:r>
            <w:r w:rsidRPr="00E436C5">
              <w:rPr>
                <w:rFonts w:eastAsia="Calibri"/>
                <w:sz w:val="18"/>
              </w:rPr>
              <w:t xml:space="preserve"> on </w:t>
            </w:r>
            <w:r w:rsidR="009F6EFF" w:rsidRPr="00E436C5">
              <w:rPr>
                <w:rFonts w:eastAsia="Calibri"/>
                <w:sz w:val="18"/>
              </w:rPr>
              <w:t>g</w:t>
            </w:r>
            <w:r w:rsidRPr="00E436C5">
              <w:rPr>
                <w:rFonts w:eastAsia="Calibri"/>
                <w:sz w:val="18"/>
              </w:rPr>
              <w:t>sa.gov/eistransition</w:t>
            </w:r>
            <w:r w:rsidR="00A3757C" w:rsidRPr="00557C49">
              <w:rPr>
                <w:rFonts w:eastAsia="Calibri"/>
                <w:sz w:val="18"/>
                <w:szCs w:val="18"/>
              </w:rPr>
              <w:t>)</w:t>
            </w:r>
          </w:p>
        </w:tc>
        <w:tc>
          <w:tcPr>
            <w:tcW w:w="5760" w:type="dxa"/>
          </w:tcPr>
          <w:p w14:paraId="1F198172" w14:textId="77777777" w:rsidR="006E495C" w:rsidRPr="00E436C5" w:rsidRDefault="006E495C" w:rsidP="000567A5">
            <w:pPr>
              <w:pStyle w:val="ListParagraph"/>
              <w:widowControl/>
              <w:numPr>
                <w:ilvl w:val="0"/>
                <w:numId w:val="51"/>
              </w:numPr>
              <w:autoSpaceDE/>
              <w:autoSpaceDN/>
              <w:adjustRightInd/>
              <w:jc w:val="left"/>
              <w:rPr>
                <w:color w:val="000000"/>
                <w:sz w:val="18"/>
              </w:rPr>
            </w:pPr>
            <w:r w:rsidRPr="00E436C5">
              <w:rPr>
                <w:color w:val="000000"/>
                <w:sz w:val="18"/>
              </w:rPr>
              <w:t>Develop schedule for completing FOs</w:t>
            </w:r>
          </w:p>
        </w:tc>
        <w:sdt>
          <w:sdtPr>
            <w:rPr>
              <w:rFonts w:ascii="Segoe UI Symbol" w:eastAsia="MS Gothic" w:hAnsi="Segoe UI Symbol" w:cs="Segoe UI Symbol"/>
              <w:sz w:val="20"/>
              <w:szCs w:val="20"/>
            </w:rPr>
            <w:id w:val="2070138542"/>
            <w14:checkbox>
              <w14:checked w14:val="0"/>
              <w14:checkedState w14:val="00FE" w14:font="Wingdings"/>
              <w14:uncheckedState w14:val="2610" w14:font="MS Gothic"/>
            </w14:checkbox>
          </w:sdtPr>
          <w:sdtEndPr/>
          <w:sdtContent>
            <w:tc>
              <w:tcPr>
                <w:tcW w:w="540" w:type="dxa"/>
                <w:vMerge w:val="restart"/>
                <w:vAlign w:val="center"/>
              </w:tcPr>
              <w:p w14:paraId="3087B973" w14:textId="2314E49F" w:rsidR="006E495C" w:rsidRPr="00A23B3F" w:rsidRDefault="000B708C" w:rsidP="004D3659">
                <w:pPr>
                  <w:widowControl/>
                  <w:tabs>
                    <w:tab w:val="left" w:pos="3150"/>
                  </w:tabs>
                  <w:autoSpaceDE/>
                  <w:autoSpaceDN/>
                  <w:adjustRightInd/>
                  <w:spacing w:after="120"/>
                  <w:jc w:val="center"/>
                  <w:rPr>
                    <w:rFonts w:eastAsia="Calibri"/>
                    <w:b/>
                    <w:sz w:val="20"/>
                    <w:szCs w:val="20"/>
                  </w:rPr>
                </w:pPr>
                <w:r w:rsidRPr="00A23B3F">
                  <w:rPr>
                    <w:rFonts w:ascii="Segoe UI Symbol" w:eastAsia="MS Gothic" w:hAnsi="Segoe UI Symbol" w:cs="Segoe UI Symbol"/>
                    <w:sz w:val="20"/>
                    <w:szCs w:val="20"/>
                  </w:rPr>
                  <w:t>☐</w:t>
                </w:r>
              </w:p>
            </w:tc>
          </w:sdtContent>
        </w:sdt>
        <w:tc>
          <w:tcPr>
            <w:tcW w:w="1350" w:type="dxa"/>
            <w:vMerge w:val="restart"/>
            <w:vAlign w:val="center"/>
          </w:tcPr>
          <w:p w14:paraId="61E22BBF" w14:textId="30D896E0" w:rsidR="006E495C" w:rsidRPr="00E436C5" w:rsidRDefault="006E495C" w:rsidP="002C1CE8">
            <w:pPr>
              <w:widowControl/>
              <w:tabs>
                <w:tab w:val="left" w:pos="3150"/>
              </w:tabs>
              <w:autoSpaceDE/>
              <w:autoSpaceDN/>
              <w:adjustRightInd/>
              <w:spacing w:after="120"/>
              <w:jc w:val="center"/>
              <w:rPr>
                <w:rFonts w:eastAsia="Calibri"/>
                <w:sz w:val="18"/>
              </w:rPr>
            </w:pPr>
            <w:r w:rsidRPr="00E436C5">
              <w:rPr>
                <w:rFonts w:eastAsia="Calibri"/>
                <w:sz w:val="18"/>
              </w:rPr>
              <w:t>Jan 2017–</w:t>
            </w:r>
            <w:r w:rsidR="002C1CE8" w:rsidRPr="00E436C5">
              <w:rPr>
                <w:rFonts w:eastAsia="Calibri"/>
                <w:sz w:val="18"/>
              </w:rPr>
              <w:t>Jul 2017</w:t>
            </w:r>
          </w:p>
        </w:tc>
      </w:tr>
      <w:tr w:rsidR="004F55E8" w:rsidRPr="007A4B19" w14:paraId="2E3D720A" w14:textId="77777777" w:rsidTr="0014363D">
        <w:trPr>
          <w:cantSplit/>
          <w:jc w:val="center"/>
        </w:trPr>
        <w:tc>
          <w:tcPr>
            <w:tcW w:w="2875" w:type="dxa"/>
            <w:vMerge/>
          </w:tcPr>
          <w:p w14:paraId="0A275DFB" w14:textId="77777777" w:rsidR="006E495C" w:rsidRPr="00557C49" w:rsidRDefault="006E495C" w:rsidP="004D3659">
            <w:pPr>
              <w:widowControl/>
              <w:tabs>
                <w:tab w:val="left" w:pos="3150"/>
              </w:tabs>
              <w:autoSpaceDE/>
              <w:autoSpaceDN/>
              <w:adjustRightInd/>
              <w:spacing w:after="120"/>
              <w:rPr>
                <w:rFonts w:eastAsia="Calibri"/>
                <w:b/>
                <w:sz w:val="18"/>
                <w:szCs w:val="18"/>
              </w:rPr>
            </w:pPr>
          </w:p>
        </w:tc>
        <w:tc>
          <w:tcPr>
            <w:tcW w:w="5760" w:type="dxa"/>
          </w:tcPr>
          <w:p w14:paraId="234D0D26" w14:textId="77777777" w:rsidR="006E495C" w:rsidRPr="00C510B5" w:rsidRDefault="006E495C" w:rsidP="000567A5">
            <w:pPr>
              <w:pStyle w:val="ListParagraph"/>
              <w:widowControl/>
              <w:numPr>
                <w:ilvl w:val="0"/>
                <w:numId w:val="51"/>
              </w:numPr>
              <w:autoSpaceDE/>
              <w:autoSpaceDN/>
              <w:adjustRightInd/>
              <w:jc w:val="left"/>
              <w:rPr>
                <w:color w:val="000000"/>
                <w:sz w:val="18"/>
                <w:szCs w:val="20"/>
              </w:rPr>
            </w:pPr>
            <w:r w:rsidRPr="00C510B5">
              <w:rPr>
                <w:color w:val="000000"/>
                <w:sz w:val="18"/>
                <w:szCs w:val="20"/>
              </w:rPr>
              <w:t>Define Service Requirements</w:t>
            </w:r>
          </w:p>
        </w:tc>
        <w:tc>
          <w:tcPr>
            <w:tcW w:w="540" w:type="dxa"/>
            <w:vMerge/>
          </w:tcPr>
          <w:p w14:paraId="5DFE2FAA" w14:textId="77777777" w:rsidR="006E495C" w:rsidRPr="00C510B5" w:rsidRDefault="006E495C" w:rsidP="004D3659">
            <w:pPr>
              <w:widowControl/>
              <w:tabs>
                <w:tab w:val="left" w:pos="3150"/>
              </w:tabs>
              <w:autoSpaceDE/>
              <w:autoSpaceDN/>
              <w:adjustRightInd/>
              <w:spacing w:after="120"/>
              <w:rPr>
                <w:rFonts w:eastAsia="Calibri"/>
                <w:b/>
                <w:sz w:val="18"/>
                <w:szCs w:val="20"/>
              </w:rPr>
            </w:pPr>
          </w:p>
        </w:tc>
        <w:tc>
          <w:tcPr>
            <w:tcW w:w="1350" w:type="dxa"/>
            <w:vMerge/>
            <w:vAlign w:val="center"/>
          </w:tcPr>
          <w:p w14:paraId="7B7763D2" w14:textId="77777777" w:rsidR="006E495C" w:rsidRPr="00557C49" w:rsidRDefault="006E495C" w:rsidP="004D3659">
            <w:pPr>
              <w:widowControl/>
              <w:tabs>
                <w:tab w:val="left" w:pos="3150"/>
              </w:tabs>
              <w:autoSpaceDE/>
              <w:autoSpaceDN/>
              <w:adjustRightInd/>
              <w:spacing w:after="120"/>
              <w:rPr>
                <w:rFonts w:eastAsia="Calibri"/>
                <w:b/>
                <w:sz w:val="18"/>
                <w:szCs w:val="18"/>
              </w:rPr>
            </w:pPr>
          </w:p>
        </w:tc>
      </w:tr>
      <w:tr w:rsidR="004F55E8" w:rsidRPr="007A4B19" w14:paraId="33F66ED8" w14:textId="77777777" w:rsidTr="0014363D">
        <w:trPr>
          <w:cantSplit/>
          <w:jc w:val="center"/>
        </w:trPr>
        <w:tc>
          <w:tcPr>
            <w:tcW w:w="2875" w:type="dxa"/>
            <w:vMerge/>
          </w:tcPr>
          <w:p w14:paraId="064CC221" w14:textId="77777777" w:rsidR="006E495C" w:rsidRPr="00557C49" w:rsidRDefault="006E495C" w:rsidP="004D3659">
            <w:pPr>
              <w:widowControl/>
              <w:tabs>
                <w:tab w:val="left" w:pos="3150"/>
              </w:tabs>
              <w:autoSpaceDE/>
              <w:autoSpaceDN/>
              <w:adjustRightInd/>
              <w:spacing w:after="120"/>
              <w:rPr>
                <w:rFonts w:eastAsia="Calibri"/>
                <w:b/>
                <w:sz w:val="18"/>
                <w:szCs w:val="18"/>
              </w:rPr>
            </w:pPr>
          </w:p>
        </w:tc>
        <w:tc>
          <w:tcPr>
            <w:tcW w:w="5760" w:type="dxa"/>
          </w:tcPr>
          <w:p w14:paraId="49C00CF5" w14:textId="77777777" w:rsidR="006E495C" w:rsidRPr="00C510B5" w:rsidRDefault="006E495C" w:rsidP="000567A5">
            <w:pPr>
              <w:pStyle w:val="ListParagraph"/>
              <w:widowControl/>
              <w:numPr>
                <w:ilvl w:val="1"/>
                <w:numId w:val="54"/>
              </w:numPr>
              <w:autoSpaceDE/>
              <w:autoSpaceDN/>
              <w:adjustRightInd/>
              <w:jc w:val="left"/>
              <w:rPr>
                <w:color w:val="000000"/>
                <w:sz w:val="18"/>
                <w:szCs w:val="20"/>
              </w:rPr>
            </w:pPr>
            <w:r w:rsidRPr="00C510B5">
              <w:rPr>
                <w:color w:val="000000"/>
                <w:sz w:val="18"/>
                <w:szCs w:val="20"/>
              </w:rPr>
              <w:t>Define Service Groups</w:t>
            </w:r>
          </w:p>
        </w:tc>
        <w:tc>
          <w:tcPr>
            <w:tcW w:w="540" w:type="dxa"/>
            <w:vMerge/>
          </w:tcPr>
          <w:p w14:paraId="67BDE9D8" w14:textId="77777777" w:rsidR="006E495C" w:rsidRPr="00C510B5" w:rsidRDefault="006E495C" w:rsidP="004D3659">
            <w:pPr>
              <w:widowControl/>
              <w:tabs>
                <w:tab w:val="left" w:pos="3150"/>
              </w:tabs>
              <w:autoSpaceDE/>
              <w:autoSpaceDN/>
              <w:adjustRightInd/>
              <w:spacing w:after="120"/>
              <w:rPr>
                <w:rFonts w:eastAsia="Calibri"/>
                <w:b/>
                <w:sz w:val="18"/>
                <w:szCs w:val="20"/>
              </w:rPr>
            </w:pPr>
          </w:p>
        </w:tc>
        <w:tc>
          <w:tcPr>
            <w:tcW w:w="1350" w:type="dxa"/>
            <w:vMerge/>
            <w:vAlign w:val="center"/>
          </w:tcPr>
          <w:p w14:paraId="7BC0F14F" w14:textId="77777777" w:rsidR="006E495C" w:rsidRPr="00557C49" w:rsidRDefault="006E495C" w:rsidP="004D3659">
            <w:pPr>
              <w:widowControl/>
              <w:tabs>
                <w:tab w:val="left" w:pos="3150"/>
              </w:tabs>
              <w:autoSpaceDE/>
              <w:autoSpaceDN/>
              <w:adjustRightInd/>
              <w:spacing w:after="120"/>
              <w:rPr>
                <w:rFonts w:eastAsia="Calibri"/>
                <w:b/>
                <w:sz w:val="18"/>
                <w:szCs w:val="18"/>
              </w:rPr>
            </w:pPr>
          </w:p>
        </w:tc>
      </w:tr>
      <w:tr w:rsidR="004F55E8" w:rsidRPr="007A4B19" w14:paraId="48CBF571" w14:textId="77777777" w:rsidTr="0014363D">
        <w:trPr>
          <w:cantSplit/>
          <w:jc w:val="center"/>
        </w:trPr>
        <w:tc>
          <w:tcPr>
            <w:tcW w:w="2875" w:type="dxa"/>
            <w:vMerge/>
          </w:tcPr>
          <w:p w14:paraId="100713C9" w14:textId="77777777" w:rsidR="006E495C" w:rsidRPr="00557C49" w:rsidRDefault="006E495C" w:rsidP="004D3659">
            <w:pPr>
              <w:widowControl/>
              <w:tabs>
                <w:tab w:val="left" w:pos="3150"/>
              </w:tabs>
              <w:autoSpaceDE/>
              <w:autoSpaceDN/>
              <w:adjustRightInd/>
              <w:spacing w:after="120"/>
              <w:rPr>
                <w:rFonts w:eastAsia="Calibri"/>
                <w:b/>
                <w:sz w:val="18"/>
                <w:szCs w:val="18"/>
              </w:rPr>
            </w:pPr>
          </w:p>
        </w:tc>
        <w:tc>
          <w:tcPr>
            <w:tcW w:w="5760" w:type="dxa"/>
          </w:tcPr>
          <w:p w14:paraId="7A8ECC26" w14:textId="77777777" w:rsidR="006E495C" w:rsidRPr="00C510B5" w:rsidRDefault="006E495C" w:rsidP="000567A5">
            <w:pPr>
              <w:pStyle w:val="ListParagraph"/>
              <w:widowControl/>
              <w:numPr>
                <w:ilvl w:val="1"/>
                <w:numId w:val="54"/>
              </w:numPr>
              <w:autoSpaceDE/>
              <w:autoSpaceDN/>
              <w:adjustRightInd/>
              <w:jc w:val="left"/>
              <w:rPr>
                <w:color w:val="000000"/>
                <w:sz w:val="18"/>
                <w:szCs w:val="20"/>
              </w:rPr>
            </w:pPr>
            <w:r w:rsidRPr="00C510B5">
              <w:rPr>
                <w:color w:val="000000"/>
                <w:sz w:val="18"/>
                <w:szCs w:val="20"/>
              </w:rPr>
              <w:t>Document requirements within a SOW, PWS, or SOO</w:t>
            </w:r>
          </w:p>
        </w:tc>
        <w:tc>
          <w:tcPr>
            <w:tcW w:w="540" w:type="dxa"/>
            <w:vMerge/>
          </w:tcPr>
          <w:p w14:paraId="533ACE9B" w14:textId="77777777" w:rsidR="006E495C" w:rsidRPr="00C510B5" w:rsidRDefault="006E495C" w:rsidP="004D3659">
            <w:pPr>
              <w:widowControl/>
              <w:tabs>
                <w:tab w:val="left" w:pos="3150"/>
              </w:tabs>
              <w:autoSpaceDE/>
              <w:autoSpaceDN/>
              <w:adjustRightInd/>
              <w:spacing w:after="120"/>
              <w:rPr>
                <w:rFonts w:eastAsia="Calibri"/>
                <w:b/>
                <w:sz w:val="18"/>
                <w:szCs w:val="20"/>
              </w:rPr>
            </w:pPr>
          </w:p>
        </w:tc>
        <w:tc>
          <w:tcPr>
            <w:tcW w:w="1350" w:type="dxa"/>
            <w:vMerge/>
            <w:vAlign w:val="center"/>
          </w:tcPr>
          <w:p w14:paraId="1214F371" w14:textId="77777777" w:rsidR="006E495C" w:rsidRPr="00557C49" w:rsidRDefault="006E495C" w:rsidP="004D3659">
            <w:pPr>
              <w:widowControl/>
              <w:tabs>
                <w:tab w:val="left" w:pos="3150"/>
              </w:tabs>
              <w:autoSpaceDE/>
              <w:autoSpaceDN/>
              <w:adjustRightInd/>
              <w:spacing w:after="120"/>
              <w:rPr>
                <w:rFonts w:eastAsia="Calibri"/>
                <w:b/>
                <w:sz w:val="18"/>
                <w:szCs w:val="18"/>
              </w:rPr>
            </w:pPr>
          </w:p>
        </w:tc>
      </w:tr>
      <w:tr w:rsidR="004F55E8" w:rsidRPr="007A4B19" w14:paraId="79E7D941" w14:textId="77777777" w:rsidTr="0014363D">
        <w:trPr>
          <w:cantSplit/>
          <w:jc w:val="center"/>
        </w:trPr>
        <w:tc>
          <w:tcPr>
            <w:tcW w:w="2875" w:type="dxa"/>
            <w:vMerge/>
          </w:tcPr>
          <w:p w14:paraId="5393BD27" w14:textId="77777777" w:rsidR="006E495C" w:rsidRPr="00557C49" w:rsidRDefault="006E495C" w:rsidP="004D3659">
            <w:pPr>
              <w:widowControl/>
              <w:tabs>
                <w:tab w:val="left" w:pos="3150"/>
              </w:tabs>
              <w:autoSpaceDE/>
              <w:autoSpaceDN/>
              <w:adjustRightInd/>
              <w:spacing w:after="120"/>
              <w:rPr>
                <w:rFonts w:eastAsia="Calibri"/>
                <w:b/>
                <w:sz w:val="18"/>
                <w:szCs w:val="18"/>
              </w:rPr>
            </w:pPr>
          </w:p>
        </w:tc>
        <w:tc>
          <w:tcPr>
            <w:tcW w:w="5760" w:type="dxa"/>
          </w:tcPr>
          <w:p w14:paraId="65CC577C" w14:textId="77777777" w:rsidR="006E495C" w:rsidRPr="00C510B5" w:rsidRDefault="006E495C" w:rsidP="000567A5">
            <w:pPr>
              <w:pStyle w:val="ListParagraph"/>
              <w:widowControl/>
              <w:numPr>
                <w:ilvl w:val="0"/>
                <w:numId w:val="51"/>
              </w:numPr>
              <w:autoSpaceDE/>
              <w:autoSpaceDN/>
              <w:adjustRightInd/>
              <w:jc w:val="left"/>
              <w:rPr>
                <w:color w:val="000000"/>
                <w:sz w:val="18"/>
                <w:szCs w:val="20"/>
              </w:rPr>
            </w:pPr>
            <w:r w:rsidRPr="00C510B5">
              <w:rPr>
                <w:color w:val="000000"/>
                <w:sz w:val="18"/>
                <w:szCs w:val="20"/>
              </w:rPr>
              <w:t>Develop Acquisition Strategy</w:t>
            </w:r>
          </w:p>
        </w:tc>
        <w:tc>
          <w:tcPr>
            <w:tcW w:w="540" w:type="dxa"/>
            <w:vMerge/>
          </w:tcPr>
          <w:p w14:paraId="6B451379" w14:textId="77777777" w:rsidR="006E495C" w:rsidRPr="00C510B5" w:rsidRDefault="006E495C" w:rsidP="004D3659">
            <w:pPr>
              <w:widowControl/>
              <w:tabs>
                <w:tab w:val="left" w:pos="3150"/>
              </w:tabs>
              <w:autoSpaceDE/>
              <w:autoSpaceDN/>
              <w:adjustRightInd/>
              <w:spacing w:after="120"/>
              <w:rPr>
                <w:rFonts w:eastAsia="Calibri"/>
                <w:b/>
                <w:sz w:val="18"/>
                <w:szCs w:val="20"/>
              </w:rPr>
            </w:pPr>
          </w:p>
        </w:tc>
        <w:tc>
          <w:tcPr>
            <w:tcW w:w="1350" w:type="dxa"/>
            <w:vMerge/>
            <w:vAlign w:val="center"/>
          </w:tcPr>
          <w:p w14:paraId="54090A95" w14:textId="77777777" w:rsidR="006E495C" w:rsidRPr="00557C49" w:rsidRDefault="006E495C" w:rsidP="004D3659">
            <w:pPr>
              <w:widowControl/>
              <w:tabs>
                <w:tab w:val="left" w:pos="3150"/>
              </w:tabs>
              <w:autoSpaceDE/>
              <w:autoSpaceDN/>
              <w:adjustRightInd/>
              <w:spacing w:after="120"/>
              <w:rPr>
                <w:rFonts w:eastAsia="Calibri"/>
                <w:b/>
                <w:sz w:val="18"/>
                <w:szCs w:val="18"/>
              </w:rPr>
            </w:pPr>
          </w:p>
        </w:tc>
      </w:tr>
      <w:tr w:rsidR="004F55E8" w:rsidRPr="007A4B19" w14:paraId="6062A67A" w14:textId="77777777" w:rsidTr="0014363D">
        <w:trPr>
          <w:cantSplit/>
          <w:jc w:val="center"/>
        </w:trPr>
        <w:tc>
          <w:tcPr>
            <w:tcW w:w="2875" w:type="dxa"/>
            <w:vMerge/>
          </w:tcPr>
          <w:p w14:paraId="4E869EBB" w14:textId="77777777" w:rsidR="006E495C" w:rsidRPr="00557C49" w:rsidRDefault="006E495C" w:rsidP="004D3659">
            <w:pPr>
              <w:widowControl/>
              <w:tabs>
                <w:tab w:val="left" w:pos="3150"/>
              </w:tabs>
              <w:autoSpaceDE/>
              <w:autoSpaceDN/>
              <w:adjustRightInd/>
              <w:spacing w:after="120"/>
              <w:rPr>
                <w:rFonts w:eastAsia="Calibri"/>
                <w:b/>
                <w:sz w:val="18"/>
                <w:szCs w:val="18"/>
              </w:rPr>
            </w:pPr>
          </w:p>
        </w:tc>
        <w:tc>
          <w:tcPr>
            <w:tcW w:w="5760" w:type="dxa"/>
          </w:tcPr>
          <w:p w14:paraId="1D843930" w14:textId="77777777" w:rsidR="006E495C" w:rsidRPr="00C510B5" w:rsidRDefault="006E495C" w:rsidP="000567A5">
            <w:pPr>
              <w:pStyle w:val="ListParagraph"/>
              <w:widowControl/>
              <w:numPr>
                <w:ilvl w:val="1"/>
                <w:numId w:val="55"/>
              </w:numPr>
              <w:autoSpaceDE/>
              <w:autoSpaceDN/>
              <w:adjustRightInd/>
              <w:jc w:val="left"/>
              <w:rPr>
                <w:color w:val="000000"/>
                <w:sz w:val="18"/>
                <w:szCs w:val="20"/>
              </w:rPr>
            </w:pPr>
            <w:r w:rsidRPr="00C510B5">
              <w:rPr>
                <w:color w:val="000000"/>
                <w:sz w:val="18"/>
                <w:szCs w:val="20"/>
              </w:rPr>
              <w:t>Select Acquisition Strategy</w:t>
            </w:r>
          </w:p>
        </w:tc>
        <w:tc>
          <w:tcPr>
            <w:tcW w:w="540" w:type="dxa"/>
            <w:vMerge/>
          </w:tcPr>
          <w:p w14:paraId="7492A453" w14:textId="77777777" w:rsidR="006E495C" w:rsidRPr="00C510B5" w:rsidRDefault="006E495C" w:rsidP="004D3659">
            <w:pPr>
              <w:widowControl/>
              <w:tabs>
                <w:tab w:val="left" w:pos="3150"/>
              </w:tabs>
              <w:autoSpaceDE/>
              <w:autoSpaceDN/>
              <w:adjustRightInd/>
              <w:spacing w:after="120"/>
              <w:rPr>
                <w:rFonts w:eastAsia="Calibri"/>
                <w:b/>
                <w:sz w:val="18"/>
                <w:szCs w:val="20"/>
              </w:rPr>
            </w:pPr>
          </w:p>
        </w:tc>
        <w:tc>
          <w:tcPr>
            <w:tcW w:w="1350" w:type="dxa"/>
            <w:vMerge/>
            <w:vAlign w:val="center"/>
          </w:tcPr>
          <w:p w14:paraId="38B705B4" w14:textId="77777777" w:rsidR="006E495C" w:rsidRPr="00557C49" w:rsidRDefault="006E495C" w:rsidP="004D3659">
            <w:pPr>
              <w:widowControl/>
              <w:tabs>
                <w:tab w:val="left" w:pos="3150"/>
              </w:tabs>
              <w:autoSpaceDE/>
              <w:autoSpaceDN/>
              <w:adjustRightInd/>
              <w:spacing w:after="120"/>
              <w:rPr>
                <w:rFonts w:eastAsia="Calibri"/>
                <w:b/>
                <w:sz w:val="18"/>
                <w:szCs w:val="18"/>
              </w:rPr>
            </w:pPr>
          </w:p>
        </w:tc>
      </w:tr>
      <w:tr w:rsidR="004F55E8" w:rsidRPr="007A4B19" w14:paraId="2064EA90" w14:textId="77777777" w:rsidTr="0014363D">
        <w:trPr>
          <w:cantSplit/>
          <w:jc w:val="center"/>
        </w:trPr>
        <w:tc>
          <w:tcPr>
            <w:tcW w:w="2875" w:type="dxa"/>
            <w:vMerge/>
          </w:tcPr>
          <w:p w14:paraId="4399793A" w14:textId="77777777" w:rsidR="006E495C" w:rsidRPr="00557C49" w:rsidRDefault="006E495C" w:rsidP="004D3659">
            <w:pPr>
              <w:widowControl/>
              <w:tabs>
                <w:tab w:val="left" w:pos="3150"/>
              </w:tabs>
              <w:autoSpaceDE/>
              <w:autoSpaceDN/>
              <w:adjustRightInd/>
              <w:spacing w:after="120"/>
              <w:rPr>
                <w:rFonts w:eastAsia="Calibri"/>
                <w:b/>
                <w:sz w:val="18"/>
                <w:szCs w:val="18"/>
              </w:rPr>
            </w:pPr>
          </w:p>
        </w:tc>
        <w:tc>
          <w:tcPr>
            <w:tcW w:w="5760" w:type="dxa"/>
          </w:tcPr>
          <w:p w14:paraId="71CC76EA" w14:textId="77777777" w:rsidR="006E495C" w:rsidRPr="00C510B5" w:rsidRDefault="006E495C" w:rsidP="000567A5">
            <w:pPr>
              <w:pStyle w:val="ListParagraph"/>
              <w:widowControl/>
              <w:numPr>
                <w:ilvl w:val="2"/>
                <w:numId w:val="57"/>
              </w:numPr>
              <w:autoSpaceDE/>
              <w:autoSpaceDN/>
              <w:adjustRightInd/>
              <w:jc w:val="left"/>
              <w:rPr>
                <w:color w:val="000000"/>
                <w:sz w:val="18"/>
                <w:szCs w:val="20"/>
              </w:rPr>
            </w:pPr>
            <w:r w:rsidRPr="00C510B5">
              <w:rPr>
                <w:color w:val="000000"/>
                <w:sz w:val="18"/>
                <w:szCs w:val="20"/>
              </w:rPr>
              <w:t xml:space="preserve"> Price-only</w:t>
            </w:r>
          </w:p>
        </w:tc>
        <w:tc>
          <w:tcPr>
            <w:tcW w:w="540" w:type="dxa"/>
            <w:vMerge/>
          </w:tcPr>
          <w:p w14:paraId="4BFAEED6" w14:textId="77777777" w:rsidR="006E495C" w:rsidRPr="00C510B5" w:rsidRDefault="006E495C" w:rsidP="004D3659">
            <w:pPr>
              <w:widowControl/>
              <w:tabs>
                <w:tab w:val="left" w:pos="3150"/>
              </w:tabs>
              <w:autoSpaceDE/>
              <w:autoSpaceDN/>
              <w:adjustRightInd/>
              <w:spacing w:after="120"/>
              <w:rPr>
                <w:rFonts w:eastAsia="Calibri"/>
                <w:b/>
                <w:sz w:val="18"/>
                <w:szCs w:val="20"/>
              </w:rPr>
            </w:pPr>
          </w:p>
        </w:tc>
        <w:tc>
          <w:tcPr>
            <w:tcW w:w="1350" w:type="dxa"/>
            <w:vMerge/>
            <w:vAlign w:val="center"/>
          </w:tcPr>
          <w:p w14:paraId="74A95D15" w14:textId="77777777" w:rsidR="006E495C" w:rsidRPr="00557C49" w:rsidRDefault="006E495C" w:rsidP="004D3659">
            <w:pPr>
              <w:widowControl/>
              <w:tabs>
                <w:tab w:val="left" w:pos="3150"/>
              </w:tabs>
              <w:autoSpaceDE/>
              <w:autoSpaceDN/>
              <w:adjustRightInd/>
              <w:spacing w:after="120"/>
              <w:rPr>
                <w:rFonts w:eastAsia="Calibri"/>
                <w:b/>
                <w:sz w:val="18"/>
                <w:szCs w:val="18"/>
              </w:rPr>
            </w:pPr>
          </w:p>
        </w:tc>
      </w:tr>
      <w:tr w:rsidR="004F55E8" w:rsidRPr="007A4B19" w14:paraId="52744544" w14:textId="77777777" w:rsidTr="0014363D">
        <w:trPr>
          <w:cantSplit/>
          <w:jc w:val="center"/>
        </w:trPr>
        <w:tc>
          <w:tcPr>
            <w:tcW w:w="2875" w:type="dxa"/>
            <w:vMerge/>
          </w:tcPr>
          <w:p w14:paraId="5A875A92" w14:textId="77777777" w:rsidR="006E495C" w:rsidRPr="00557C49" w:rsidRDefault="006E495C" w:rsidP="004D3659">
            <w:pPr>
              <w:widowControl/>
              <w:tabs>
                <w:tab w:val="left" w:pos="3150"/>
              </w:tabs>
              <w:autoSpaceDE/>
              <w:autoSpaceDN/>
              <w:adjustRightInd/>
              <w:spacing w:after="120"/>
              <w:rPr>
                <w:rFonts w:eastAsia="Calibri"/>
                <w:b/>
                <w:sz w:val="18"/>
                <w:szCs w:val="18"/>
              </w:rPr>
            </w:pPr>
          </w:p>
        </w:tc>
        <w:tc>
          <w:tcPr>
            <w:tcW w:w="5760" w:type="dxa"/>
          </w:tcPr>
          <w:p w14:paraId="15AA7F17" w14:textId="77777777" w:rsidR="006E495C" w:rsidRPr="00C510B5" w:rsidRDefault="006E495C" w:rsidP="000567A5">
            <w:pPr>
              <w:pStyle w:val="ListParagraph"/>
              <w:widowControl/>
              <w:numPr>
                <w:ilvl w:val="2"/>
                <w:numId w:val="57"/>
              </w:numPr>
              <w:autoSpaceDE/>
              <w:autoSpaceDN/>
              <w:adjustRightInd/>
              <w:jc w:val="left"/>
              <w:rPr>
                <w:color w:val="000000"/>
                <w:sz w:val="18"/>
                <w:szCs w:val="20"/>
              </w:rPr>
            </w:pPr>
            <w:r w:rsidRPr="00C510B5">
              <w:rPr>
                <w:color w:val="000000"/>
                <w:sz w:val="18"/>
                <w:szCs w:val="20"/>
              </w:rPr>
              <w:t xml:space="preserve"> Low Price Technically Acceptable (LPTA)</w:t>
            </w:r>
          </w:p>
        </w:tc>
        <w:tc>
          <w:tcPr>
            <w:tcW w:w="540" w:type="dxa"/>
            <w:vMerge/>
          </w:tcPr>
          <w:p w14:paraId="48DA45FC" w14:textId="77777777" w:rsidR="006E495C" w:rsidRPr="00C510B5" w:rsidRDefault="006E495C" w:rsidP="004D3659">
            <w:pPr>
              <w:widowControl/>
              <w:tabs>
                <w:tab w:val="left" w:pos="3150"/>
              </w:tabs>
              <w:autoSpaceDE/>
              <w:autoSpaceDN/>
              <w:adjustRightInd/>
              <w:spacing w:after="120"/>
              <w:rPr>
                <w:rFonts w:eastAsia="Calibri"/>
                <w:b/>
                <w:sz w:val="18"/>
                <w:szCs w:val="20"/>
              </w:rPr>
            </w:pPr>
          </w:p>
        </w:tc>
        <w:tc>
          <w:tcPr>
            <w:tcW w:w="1350" w:type="dxa"/>
            <w:vMerge/>
            <w:vAlign w:val="center"/>
          </w:tcPr>
          <w:p w14:paraId="78BBA9F6" w14:textId="77777777" w:rsidR="006E495C" w:rsidRPr="00557C49" w:rsidRDefault="006E495C" w:rsidP="004D3659">
            <w:pPr>
              <w:widowControl/>
              <w:tabs>
                <w:tab w:val="left" w:pos="3150"/>
              </w:tabs>
              <w:autoSpaceDE/>
              <w:autoSpaceDN/>
              <w:adjustRightInd/>
              <w:spacing w:after="120"/>
              <w:rPr>
                <w:rFonts w:eastAsia="Calibri"/>
                <w:b/>
                <w:sz w:val="18"/>
                <w:szCs w:val="18"/>
              </w:rPr>
            </w:pPr>
          </w:p>
        </w:tc>
      </w:tr>
      <w:tr w:rsidR="004F55E8" w:rsidRPr="007A4B19" w14:paraId="1A21EE0B" w14:textId="77777777" w:rsidTr="0014363D">
        <w:trPr>
          <w:cantSplit/>
          <w:jc w:val="center"/>
        </w:trPr>
        <w:tc>
          <w:tcPr>
            <w:tcW w:w="2875" w:type="dxa"/>
            <w:vMerge/>
          </w:tcPr>
          <w:p w14:paraId="51922821" w14:textId="77777777" w:rsidR="006E495C" w:rsidRPr="00557C49" w:rsidRDefault="006E495C" w:rsidP="004D3659">
            <w:pPr>
              <w:widowControl/>
              <w:tabs>
                <w:tab w:val="left" w:pos="3150"/>
              </w:tabs>
              <w:autoSpaceDE/>
              <w:autoSpaceDN/>
              <w:adjustRightInd/>
              <w:spacing w:after="120"/>
              <w:rPr>
                <w:rFonts w:eastAsia="Calibri"/>
                <w:b/>
                <w:sz w:val="18"/>
                <w:szCs w:val="18"/>
              </w:rPr>
            </w:pPr>
          </w:p>
        </w:tc>
        <w:tc>
          <w:tcPr>
            <w:tcW w:w="5760" w:type="dxa"/>
          </w:tcPr>
          <w:p w14:paraId="6F1A5F70" w14:textId="77777777" w:rsidR="006E495C" w:rsidRPr="00C510B5" w:rsidRDefault="006E495C" w:rsidP="000567A5">
            <w:pPr>
              <w:pStyle w:val="ListParagraph"/>
              <w:widowControl/>
              <w:numPr>
                <w:ilvl w:val="2"/>
                <w:numId w:val="57"/>
              </w:numPr>
              <w:autoSpaceDE/>
              <w:autoSpaceDN/>
              <w:adjustRightInd/>
              <w:jc w:val="left"/>
              <w:rPr>
                <w:color w:val="000000"/>
                <w:sz w:val="18"/>
                <w:szCs w:val="20"/>
              </w:rPr>
            </w:pPr>
            <w:r w:rsidRPr="00C510B5">
              <w:rPr>
                <w:color w:val="000000"/>
                <w:sz w:val="18"/>
                <w:szCs w:val="20"/>
              </w:rPr>
              <w:t xml:space="preserve"> Best Value Tradeoff</w:t>
            </w:r>
          </w:p>
        </w:tc>
        <w:tc>
          <w:tcPr>
            <w:tcW w:w="540" w:type="dxa"/>
            <w:vMerge/>
          </w:tcPr>
          <w:p w14:paraId="61CC49A4" w14:textId="77777777" w:rsidR="006E495C" w:rsidRPr="00C510B5" w:rsidRDefault="006E495C" w:rsidP="004D3659">
            <w:pPr>
              <w:widowControl/>
              <w:tabs>
                <w:tab w:val="left" w:pos="3150"/>
              </w:tabs>
              <w:autoSpaceDE/>
              <w:autoSpaceDN/>
              <w:adjustRightInd/>
              <w:spacing w:after="120"/>
              <w:rPr>
                <w:rFonts w:eastAsia="Calibri"/>
                <w:b/>
                <w:sz w:val="18"/>
                <w:szCs w:val="20"/>
              </w:rPr>
            </w:pPr>
          </w:p>
        </w:tc>
        <w:tc>
          <w:tcPr>
            <w:tcW w:w="1350" w:type="dxa"/>
            <w:vMerge/>
            <w:vAlign w:val="center"/>
          </w:tcPr>
          <w:p w14:paraId="7531FF74" w14:textId="77777777" w:rsidR="006E495C" w:rsidRPr="00557C49" w:rsidRDefault="006E495C" w:rsidP="004D3659">
            <w:pPr>
              <w:widowControl/>
              <w:tabs>
                <w:tab w:val="left" w:pos="3150"/>
              </w:tabs>
              <w:autoSpaceDE/>
              <w:autoSpaceDN/>
              <w:adjustRightInd/>
              <w:spacing w:after="120"/>
              <w:rPr>
                <w:rFonts w:eastAsia="Calibri"/>
                <w:b/>
                <w:sz w:val="18"/>
                <w:szCs w:val="18"/>
              </w:rPr>
            </w:pPr>
          </w:p>
        </w:tc>
      </w:tr>
      <w:tr w:rsidR="004F55E8" w:rsidRPr="007A4B19" w14:paraId="105C3F93" w14:textId="77777777" w:rsidTr="0014363D">
        <w:trPr>
          <w:cantSplit/>
          <w:jc w:val="center"/>
        </w:trPr>
        <w:tc>
          <w:tcPr>
            <w:tcW w:w="2875" w:type="dxa"/>
            <w:vMerge/>
          </w:tcPr>
          <w:p w14:paraId="22B5DADD" w14:textId="77777777" w:rsidR="006E495C" w:rsidRPr="00557C49" w:rsidRDefault="006E495C" w:rsidP="004D3659">
            <w:pPr>
              <w:widowControl/>
              <w:tabs>
                <w:tab w:val="left" w:pos="3150"/>
              </w:tabs>
              <w:autoSpaceDE/>
              <w:autoSpaceDN/>
              <w:adjustRightInd/>
              <w:spacing w:after="120"/>
              <w:rPr>
                <w:rFonts w:eastAsia="Calibri"/>
                <w:b/>
                <w:sz w:val="18"/>
                <w:szCs w:val="18"/>
              </w:rPr>
            </w:pPr>
          </w:p>
        </w:tc>
        <w:tc>
          <w:tcPr>
            <w:tcW w:w="5760" w:type="dxa"/>
          </w:tcPr>
          <w:p w14:paraId="359A12F9" w14:textId="77777777" w:rsidR="006E495C" w:rsidRPr="00C510B5" w:rsidRDefault="006E495C" w:rsidP="000567A5">
            <w:pPr>
              <w:pStyle w:val="ListParagraph"/>
              <w:widowControl/>
              <w:numPr>
                <w:ilvl w:val="1"/>
                <w:numId w:val="55"/>
              </w:numPr>
              <w:autoSpaceDE/>
              <w:autoSpaceDN/>
              <w:adjustRightInd/>
              <w:jc w:val="left"/>
              <w:rPr>
                <w:color w:val="000000"/>
                <w:sz w:val="18"/>
                <w:szCs w:val="20"/>
              </w:rPr>
            </w:pPr>
            <w:r w:rsidRPr="00C510B5">
              <w:rPr>
                <w:color w:val="000000"/>
                <w:sz w:val="18"/>
                <w:szCs w:val="20"/>
              </w:rPr>
              <w:t>Prepare Acquisition Plan</w:t>
            </w:r>
          </w:p>
        </w:tc>
        <w:tc>
          <w:tcPr>
            <w:tcW w:w="540" w:type="dxa"/>
            <w:vMerge/>
          </w:tcPr>
          <w:p w14:paraId="72D6A741" w14:textId="77777777" w:rsidR="006E495C" w:rsidRPr="00C510B5" w:rsidRDefault="006E495C" w:rsidP="004D3659">
            <w:pPr>
              <w:widowControl/>
              <w:tabs>
                <w:tab w:val="left" w:pos="3150"/>
              </w:tabs>
              <w:autoSpaceDE/>
              <w:autoSpaceDN/>
              <w:adjustRightInd/>
              <w:spacing w:after="120"/>
              <w:rPr>
                <w:rFonts w:eastAsia="Calibri"/>
                <w:b/>
                <w:sz w:val="18"/>
                <w:szCs w:val="20"/>
              </w:rPr>
            </w:pPr>
          </w:p>
        </w:tc>
        <w:tc>
          <w:tcPr>
            <w:tcW w:w="1350" w:type="dxa"/>
            <w:vMerge/>
            <w:vAlign w:val="center"/>
          </w:tcPr>
          <w:p w14:paraId="2FDB6FC9" w14:textId="77777777" w:rsidR="006E495C" w:rsidRPr="00557C49" w:rsidRDefault="006E495C" w:rsidP="004D3659">
            <w:pPr>
              <w:widowControl/>
              <w:tabs>
                <w:tab w:val="left" w:pos="3150"/>
              </w:tabs>
              <w:autoSpaceDE/>
              <w:autoSpaceDN/>
              <w:adjustRightInd/>
              <w:spacing w:after="120"/>
              <w:rPr>
                <w:rFonts w:eastAsia="Calibri"/>
                <w:b/>
                <w:sz w:val="18"/>
                <w:szCs w:val="18"/>
              </w:rPr>
            </w:pPr>
          </w:p>
        </w:tc>
      </w:tr>
      <w:tr w:rsidR="004F55E8" w:rsidRPr="007A4B19" w14:paraId="5488E318" w14:textId="77777777" w:rsidTr="0014363D">
        <w:trPr>
          <w:cantSplit/>
          <w:jc w:val="center"/>
        </w:trPr>
        <w:tc>
          <w:tcPr>
            <w:tcW w:w="2875" w:type="dxa"/>
            <w:vMerge/>
          </w:tcPr>
          <w:p w14:paraId="3DFF9DCE" w14:textId="77777777" w:rsidR="006E495C" w:rsidRPr="00557C49" w:rsidRDefault="006E495C" w:rsidP="004D3659">
            <w:pPr>
              <w:widowControl/>
              <w:tabs>
                <w:tab w:val="left" w:pos="3150"/>
              </w:tabs>
              <w:autoSpaceDE/>
              <w:autoSpaceDN/>
              <w:adjustRightInd/>
              <w:spacing w:after="120"/>
              <w:rPr>
                <w:rFonts w:eastAsia="Calibri"/>
                <w:b/>
                <w:sz w:val="18"/>
                <w:szCs w:val="18"/>
              </w:rPr>
            </w:pPr>
          </w:p>
        </w:tc>
        <w:tc>
          <w:tcPr>
            <w:tcW w:w="5760" w:type="dxa"/>
            <w:vAlign w:val="center"/>
          </w:tcPr>
          <w:p w14:paraId="1255B28B" w14:textId="77777777" w:rsidR="006E495C" w:rsidRPr="00C510B5" w:rsidRDefault="006E495C" w:rsidP="000567A5">
            <w:pPr>
              <w:pStyle w:val="ListParagraph"/>
              <w:widowControl/>
              <w:numPr>
                <w:ilvl w:val="0"/>
                <w:numId w:val="51"/>
              </w:numPr>
              <w:autoSpaceDE/>
              <w:autoSpaceDN/>
              <w:adjustRightInd/>
              <w:jc w:val="left"/>
              <w:rPr>
                <w:color w:val="000000"/>
                <w:sz w:val="18"/>
                <w:szCs w:val="20"/>
              </w:rPr>
            </w:pPr>
            <w:r w:rsidRPr="00C510B5">
              <w:rPr>
                <w:color w:val="000000"/>
                <w:sz w:val="18"/>
                <w:szCs w:val="20"/>
              </w:rPr>
              <w:t>Draft Solicitation and the complete Acquisition Package (driven by acquisition method)</w:t>
            </w:r>
          </w:p>
        </w:tc>
        <w:tc>
          <w:tcPr>
            <w:tcW w:w="540" w:type="dxa"/>
            <w:vMerge/>
          </w:tcPr>
          <w:p w14:paraId="7CAF35A4" w14:textId="77777777" w:rsidR="006E495C" w:rsidRPr="00C510B5" w:rsidRDefault="006E495C" w:rsidP="004D3659">
            <w:pPr>
              <w:widowControl/>
              <w:tabs>
                <w:tab w:val="left" w:pos="3150"/>
              </w:tabs>
              <w:autoSpaceDE/>
              <w:autoSpaceDN/>
              <w:adjustRightInd/>
              <w:spacing w:after="120"/>
              <w:rPr>
                <w:rFonts w:eastAsia="Calibri"/>
                <w:b/>
                <w:sz w:val="18"/>
                <w:szCs w:val="20"/>
              </w:rPr>
            </w:pPr>
          </w:p>
        </w:tc>
        <w:tc>
          <w:tcPr>
            <w:tcW w:w="1350" w:type="dxa"/>
            <w:vMerge/>
            <w:vAlign w:val="center"/>
          </w:tcPr>
          <w:p w14:paraId="68A9C8CA" w14:textId="77777777" w:rsidR="006E495C" w:rsidRPr="00557C49" w:rsidRDefault="006E495C" w:rsidP="004D3659">
            <w:pPr>
              <w:widowControl/>
              <w:tabs>
                <w:tab w:val="left" w:pos="3150"/>
              </w:tabs>
              <w:autoSpaceDE/>
              <w:autoSpaceDN/>
              <w:adjustRightInd/>
              <w:spacing w:after="120"/>
              <w:rPr>
                <w:rFonts w:eastAsia="Calibri"/>
                <w:b/>
                <w:sz w:val="18"/>
                <w:szCs w:val="18"/>
              </w:rPr>
            </w:pPr>
          </w:p>
        </w:tc>
      </w:tr>
      <w:tr w:rsidR="004F55E8" w:rsidRPr="007A4B19" w14:paraId="28A179F9" w14:textId="77777777" w:rsidTr="0014363D">
        <w:trPr>
          <w:cantSplit/>
          <w:jc w:val="center"/>
        </w:trPr>
        <w:tc>
          <w:tcPr>
            <w:tcW w:w="2875" w:type="dxa"/>
            <w:vMerge/>
          </w:tcPr>
          <w:p w14:paraId="227CF746" w14:textId="77777777" w:rsidR="006E495C" w:rsidRPr="00557C49" w:rsidRDefault="006E495C" w:rsidP="004D3659">
            <w:pPr>
              <w:widowControl/>
              <w:tabs>
                <w:tab w:val="left" w:pos="3150"/>
              </w:tabs>
              <w:autoSpaceDE/>
              <w:autoSpaceDN/>
              <w:adjustRightInd/>
              <w:spacing w:after="120"/>
              <w:rPr>
                <w:rFonts w:eastAsia="Calibri"/>
                <w:b/>
                <w:sz w:val="18"/>
                <w:szCs w:val="18"/>
              </w:rPr>
            </w:pPr>
          </w:p>
        </w:tc>
        <w:tc>
          <w:tcPr>
            <w:tcW w:w="5760" w:type="dxa"/>
            <w:vAlign w:val="center"/>
          </w:tcPr>
          <w:p w14:paraId="2F26ECF5" w14:textId="77777777" w:rsidR="006E495C" w:rsidRPr="00C510B5" w:rsidRDefault="006E495C" w:rsidP="000567A5">
            <w:pPr>
              <w:pStyle w:val="ListParagraph"/>
              <w:widowControl/>
              <w:numPr>
                <w:ilvl w:val="1"/>
                <w:numId w:val="56"/>
              </w:numPr>
              <w:autoSpaceDE/>
              <w:autoSpaceDN/>
              <w:adjustRightInd/>
              <w:jc w:val="left"/>
              <w:rPr>
                <w:color w:val="000000"/>
                <w:sz w:val="18"/>
                <w:szCs w:val="20"/>
              </w:rPr>
            </w:pPr>
            <w:r w:rsidRPr="00C510B5">
              <w:rPr>
                <w:color w:val="000000"/>
                <w:sz w:val="18"/>
                <w:szCs w:val="20"/>
              </w:rPr>
              <w:t>Map Agency Service Locations to Core Based Statistical Areas (CBSAs)</w:t>
            </w:r>
          </w:p>
        </w:tc>
        <w:tc>
          <w:tcPr>
            <w:tcW w:w="540" w:type="dxa"/>
            <w:vMerge/>
          </w:tcPr>
          <w:p w14:paraId="035D3326" w14:textId="77777777" w:rsidR="006E495C" w:rsidRPr="00C510B5" w:rsidRDefault="006E495C" w:rsidP="004D3659">
            <w:pPr>
              <w:widowControl/>
              <w:tabs>
                <w:tab w:val="left" w:pos="3150"/>
              </w:tabs>
              <w:autoSpaceDE/>
              <w:autoSpaceDN/>
              <w:adjustRightInd/>
              <w:spacing w:after="120"/>
              <w:rPr>
                <w:rFonts w:eastAsia="Calibri"/>
                <w:b/>
                <w:sz w:val="18"/>
                <w:szCs w:val="20"/>
              </w:rPr>
            </w:pPr>
          </w:p>
        </w:tc>
        <w:tc>
          <w:tcPr>
            <w:tcW w:w="1350" w:type="dxa"/>
            <w:vMerge/>
            <w:vAlign w:val="center"/>
          </w:tcPr>
          <w:p w14:paraId="297FD880" w14:textId="77777777" w:rsidR="006E495C" w:rsidRPr="00557C49" w:rsidRDefault="006E495C" w:rsidP="004D3659">
            <w:pPr>
              <w:widowControl/>
              <w:tabs>
                <w:tab w:val="left" w:pos="3150"/>
              </w:tabs>
              <w:autoSpaceDE/>
              <w:autoSpaceDN/>
              <w:adjustRightInd/>
              <w:spacing w:after="120"/>
              <w:rPr>
                <w:rFonts w:eastAsia="Calibri"/>
                <w:b/>
                <w:sz w:val="18"/>
                <w:szCs w:val="18"/>
              </w:rPr>
            </w:pPr>
          </w:p>
        </w:tc>
      </w:tr>
      <w:tr w:rsidR="004F55E8" w:rsidRPr="007A4B19" w14:paraId="5D4D7280" w14:textId="77777777" w:rsidTr="0014363D">
        <w:trPr>
          <w:cantSplit/>
          <w:jc w:val="center"/>
        </w:trPr>
        <w:tc>
          <w:tcPr>
            <w:tcW w:w="2875" w:type="dxa"/>
            <w:vMerge/>
          </w:tcPr>
          <w:p w14:paraId="55D10645" w14:textId="77777777" w:rsidR="006E495C" w:rsidRPr="00557C49" w:rsidRDefault="006E495C" w:rsidP="004D3659">
            <w:pPr>
              <w:widowControl/>
              <w:tabs>
                <w:tab w:val="left" w:pos="3150"/>
              </w:tabs>
              <w:autoSpaceDE/>
              <w:autoSpaceDN/>
              <w:adjustRightInd/>
              <w:spacing w:after="120"/>
              <w:rPr>
                <w:rFonts w:eastAsia="Calibri"/>
                <w:b/>
                <w:sz w:val="18"/>
                <w:szCs w:val="18"/>
              </w:rPr>
            </w:pPr>
          </w:p>
        </w:tc>
        <w:tc>
          <w:tcPr>
            <w:tcW w:w="5760" w:type="dxa"/>
            <w:vAlign w:val="center"/>
          </w:tcPr>
          <w:p w14:paraId="4EEA637A" w14:textId="77777777" w:rsidR="006E495C" w:rsidRPr="00C510B5" w:rsidRDefault="006E495C" w:rsidP="000567A5">
            <w:pPr>
              <w:pStyle w:val="ListParagraph"/>
              <w:widowControl/>
              <w:numPr>
                <w:ilvl w:val="1"/>
                <w:numId w:val="56"/>
              </w:numPr>
              <w:autoSpaceDE/>
              <w:autoSpaceDN/>
              <w:adjustRightInd/>
              <w:jc w:val="left"/>
              <w:rPr>
                <w:color w:val="000000"/>
                <w:sz w:val="18"/>
                <w:szCs w:val="20"/>
              </w:rPr>
            </w:pPr>
            <w:r w:rsidRPr="00C510B5">
              <w:rPr>
                <w:color w:val="000000"/>
                <w:sz w:val="18"/>
                <w:szCs w:val="20"/>
              </w:rPr>
              <w:t>Add Service Inventory as an attachment to SOW/PWS/SOO</w:t>
            </w:r>
          </w:p>
        </w:tc>
        <w:tc>
          <w:tcPr>
            <w:tcW w:w="540" w:type="dxa"/>
            <w:vMerge/>
          </w:tcPr>
          <w:p w14:paraId="10F71411" w14:textId="77777777" w:rsidR="006E495C" w:rsidRPr="00C510B5" w:rsidRDefault="006E495C" w:rsidP="004D3659">
            <w:pPr>
              <w:widowControl/>
              <w:tabs>
                <w:tab w:val="left" w:pos="3150"/>
              </w:tabs>
              <w:autoSpaceDE/>
              <w:autoSpaceDN/>
              <w:adjustRightInd/>
              <w:spacing w:after="120"/>
              <w:rPr>
                <w:rFonts w:eastAsia="Calibri"/>
                <w:b/>
                <w:sz w:val="18"/>
                <w:szCs w:val="20"/>
              </w:rPr>
            </w:pPr>
          </w:p>
        </w:tc>
        <w:tc>
          <w:tcPr>
            <w:tcW w:w="1350" w:type="dxa"/>
            <w:vMerge/>
            <w:vAlign w:val="center"/>
          </w:tcPr>
          <w:p w14:paraId="71C9945C" w14:textId="77777777" w:rsidR="006E495C" w:rsidRPr="00557C49" w:rsidRDefault="006E495C" w:rsidP="004D3659">
            <w:pPr>
              <w:widowControl/>
              <w:tabs>
                <w:tab w:val="left" w:pos="3150"/>
              </w:tabs>
              <w:autoSpaceDE/>
              <w:autoSpaceDN/>
              <w:adjustRightInd/>
              <w:spacing w:after="120"/>
              <w:rPr>
                <w:rFonts w:eastAsia="Calibri"/>
                <w:b/>
                <w:sz w:val="18"/>
                <w:szCs w:val="18"/>
              </w:rPr>
            </w:pPr>
          </w:p>
        </w:tc>
      </w:tr>
      <w:tr w:rsidR="004F55E8" w:rsidRPr="007A4B19" w14:paraId="3AEFCD5E" w14:textId="77777777" w:rsidTr="0014363D">
        <w:trPr>
          <w:cantSplit/>
          <w:jc w:val="center"/>
        </w:trPr>
        <w:tc>
          <w:tcPr>
            <w:tcW w:w="2875" w:type="dxa"/>
            <w:shd w:val="clear" w:color="auto" w:fill="DBE5F1" w:themeFill="accent1" w:themeFillTint="33"/>
            <w:vAlign w:val="center"/>
          </w:tcPr>
          <w:p w14:paraId="7F2E73AF" w14:textId="4001B70D" w:rsidR="005D7412" w:rsidRPr="00E436C5" w:rsidRDefault="006E495C" w:rsidP="00844874">
            <w:pPr>
              <w:widowControl/>
              <w:autoSpaceDE/>
              <w:autoSpaceDN/>
              <w:adjustRightInd/>
              <w:jc w:val="left"/>
              <w:rPr>
                <w:color w:val="000000"/>
                <w:sz w:val="18"/>
              </w:rPr>
            </w:pPr>
            <w:r w:rsidRPr="00E436C5">
              <w:rPr>
                <w:color w:val="000000"/>
                <w:sz w:val="18"/>
              </w:rPr>
              <w:t xml:space="preserve">Update </w:t>
            </w:r>
            <w:r w:rsidR="00844874" w:rsidRPr="00557C49">
              <w:rPr>
                <w:color w:val="000000"/>
                <w:sz w:val="18"/>
                <w:szCs w:val="18"/>
              </w:rPr>
              <w:t>draft solicitation</w:t>
            </w:r>
            <w:r w:rsidR="00844874" w:rsidRPr="00E436C5">
              <w:rPr>
                <w:color w:val="000000"/>
                <w:sz w:val="18"/>
              </w:rPr>
              <w:t xml:space="preserve"> </w:t>
            </w:r>
            <w:r w:rsidRPr="00E436C5">
              <w:rPr>
                <w:color w:val="000000"/>
                <w:sz w:val="18"/>
              </w:rPr>
              <w:t>to reflect changes consistent with awarded contracts</w:t>
            </w:r>
          </w:p>
        </w:tc>
        <w:tc>
          <w:tcPr>
            <w:tcW w:w="5760" w:type="dxa"/>
            <w:shd w:val="clear" w:color="auto" w:fill="DBE5F1" w:themeFill="accent1" w:themeFillTint="33"/>
          </w:tcPr>
          <w:p w14:paraId="341902F3" w14:textId="77777777" w:rsidR="005D7412" w:rsidRPr="00A23B3F" w:rsidRDefault="005D7412" w:rsidP="004D3659">
            <w:pPr>
              <w:widowControl/>
              <w:tabs>
                <w:tab w:val="left" w:pos="3150"/>
              </w:tabs>
              <w:autoSpaceDE/>
              <w:autoSpaceDN/>
              <w:adjustRightInd/>
              <w:spacing w:after="120"/>
              <w:rPr>
                <w:rFonts w:eastAsia="Calibri"/>
                <w:b/>
                <w:sz w:val="20"/>
                <w:szCs w:val="20"/>
              </w:rPr>
            </w:pPr>
          </w:p>
        </w:tc>
        <w:sdt>
          <w:sdtPr>
            <w:rPr>
              <w:rFonts w:ascii="Segoe UI Symbol" w:eastAsia="MS Gothic" w:hAnsi="Segoe UI Symbol" w:cs="Segoe UI Symbol"/>
              <w:sz w:val="20"/>
              <w:szCs w:val="20"/>
            </w:rPr>
            <w:id w:val="-784576554"/>
            <w14:checkbox>
              <w14:checked w14:val="0"/>
              <w14:checkedState w14:val="00FE" w14:font="Wingdings"/>
              <w14:uncheckedState w14:val="2610" w14:font="MS Gothic"/>
            </w14:checkbox>
          </w:sdtPr>
          <w:sdtEndPr/>
          <w:sdtContent>
            <w:tc>
              <w:tcPr>
                <w:tcW w:w="540" w:type="dxa"/>
                <w:shd w:val="clear" w:color="auto" w:fill="DBE5F1" w:themeFill="accent1" w:themeFillTint="33"/>
                <w:vAlign w:val="center"/>
              </w:tcPr>
              <w:p w14:paraId="3E930037" w14:textId="1A02CF02" w:rsidR="005D7412" w:rsidRPr="00A23B3F" w:rsidRDefault="000B708C" w:rsidP="004D3659">
                <w:pPr>
                  <w:widowControl/>
                  <w:tabs>
                    <w:tab w:val="left" w:pos="3150"/>
                  </w:tabs>
                  <w:autoSpaceDE/>
                  <w:autoSpaceDN/>
                  <w:adjustRightInd/>
                  <w:spacing w:after="120"/>
                  <w:jc w:val="center"/>
                  <w:rPr>
                    <w:rFonts w:eastAsia="Calibri"/>
                    <w:b/>
                    <w:sz w:val="20"/>
                    <w:szCs w:val="20"/>
                  </w:rPr>
                </w:pPr>
                <w:r w:rsidRPr="00A23B3F">
                  <w:rPr>
                    <w:rFonts w:ascii="Segoe UI Symbol" w:eastAsia="MS Gothic" w:hAnsi="Segoe UI Symbol" w:cs="Segoe UI Symbol"/>
                    <w:sz w:val="20"/>
                    <w:szCs w:val="20"/>
                  </w:rPr>
                  <w:t>☐</w:t>
                </w:r>
              </w:p>
            </w:tc>
          </w:sdtContent>
        </w:sdt>
        <w:tc>
          <w:tcPr>
            <w:tcW w:w="1350" w:type="dxa"/>
            <w:shd w:val="clear" w:color="auto" w:fill="DBE5F1" w:themeFill="accent1" w:themeFillTint="33"/>
            <w:vAlign w:val="center"/>
          </w:tcPr>
          <w:p w14:paraId="287C12F3" w14:textId="77777777" w:rsidR="005D7412" w:rsidRPr="00E436C5" w:rsidRDefault="006E495C" w:rsidP="004D3659">
            <w:pPr>
              <w:widowControl/>
              <w:tabs>
                <w:tab w:val="left" w:pos="3150"/>
              </w:tabs>
              <w:autoSpaceDE/>
              <w:autoSpaceDN/>
              <w:adjustRightInd/>
              <w:spacing w:after="120"/>
              <w:jc w:val="center"/>
              <w:rPr>
                <w:rFonts w:eastAsia="Calibri"/>
                <w:sz w:val="18"/>
              </w:rPr>
            </w:pPr>
            <w:r w:rsidRPr="00E436C5">
              <w:rPr>
                <w:rFonts w:eastAsia="Calibri"/>
                <w:sz w:val="18"/>
              </w:rPr>
              <w:t>Post EIS award</w:t>
            </w:r>
          </w:p>
        </w:tc>
      </w:tr>
      <w:tr w:rsidR="004F55E8" w:rsidRPr="007A4B19" w14:paraId="6B2131C9" w14:textId="77777777" w:rsidTr="00A604BE">
        <w:trPr>
          <w:cantSplit/>
          <w:trHeight w:val="548"/>
          <w:jc w:val="center"/>
        </w:trPr>
        <w:tc>
          <w:tcPr>
            <w:tcW w:w="2875" w:type="dxa"/>
            <w:vMerge w:val="restart"/>
            <w:vAlign w:val="center"/>
          </w:tcPr>
          <w:p w14:paraId="1CA667DE" w14:textId="312CC640" w:rsidR="00EA04B8" w:rsidRPr="00E436C5" w:rsidRDefault="00EA04B8" w:rsidP="00844874">
            <w:pPr>
              <w:widowControl/>
              <w:tabs>
                <w:tab w:val="left" w:pos="3150"/>
              </w:tabs>
              <w:autoSpaceDE/>
              <w:autoSpaceDN/>
              <w:adjustRightInd/>
              <w:spacing w:after="120"/>
              <w:jc w:val="left"/>
              <w:rPr>
                <w:rFonts w:eastAsia="Calibri"/>
                <w:sz w:val="18"/>
              </w:rPr>
            </w:pPr>
            <w:r w:rsidRPr="00E436C5">
              <w:rPr>
                <w:rFonts w:eastAsia="Calibri"/>
                <w:sz w:val="18"/>
              </w:rPr>
              <w:t xml:space="preserve">Submit </w:t>
            </w:r>
            <w:r w:rsidR="00844874" w:rsidRPr="00557C49">
              <w:rPr>
                <w:rFonts w:eastAsia="Calibri"/>
                <w:sz w:val="18"/>
                <w:szCs w:val="18"/>
              </w:rPr>
              <w:t>solicitation</w:t>
            </w:r>
            <w:r w:rsidRPr="00E436C5">
              <w:rPr>
                <w:rFonts w:eastAsia="Calibri"/>
                <w:sz w:val="18"/>
              </w:rPr>
              <w:t xml:space="preserve">(s) to GSA for </w:t>
            </w:r>
            <w:r w:rsidR="005373DE">
              <w:rPr>
                <w:rFonts w:eastAsia="Calibri"/>
                <w:sz w:val="18"/>
                <w:szCs w:val="18"/>
              </w:rPr>
              <w:t>i</w:t>
            </w:r>
            <w:r w:rsidRPr="00557C49">
              <w:rPr>
                <w:rFonts w:eastAsia="Calibri"/>
                <w:sz w:val="18"/>
                <w:szCs w:val="18"/>
              </w:rPr>
              <w:t>n-</w:t>
            </w:r>
            <w:r w:rsidR="005373DE">
              <w:rPr>
                <w:rFonts w:eastAsia="Calibri"/>
                <w:sz w:val="18"/>
                <w:szCs w:val="18"/>
              </w:rPr>
              <w:t>s</w:t>
            </w:r>
            <w:r w:rsidRPr="00557C49">
              <w:rPr>
                <w:rFonts w:eastAsia="Calibri"/>
                <w:sz w:val="18"/>
                <w:szCs w:val="18"/>
              </w:rPr>
              <w:t xml:space="preserve">cope </w:t>
            </w:r>
            <w:r w:rsidR="00844874" w:rsidRPr="00557C49">
              <w:rPr>
                <w:rFonts w:eastAsia="Calibri"/>
                <w:sz w:val="18"/>
                <w:szCs w:val="18"/>
              </w:rPr>
              <w:t>review</w:t>
            </w:r>
          </w:p>
        </w:tc>
        <w:tc>
          <w:tcPr>
            <w:tcW w:w="5760" w:type="dxa"/>
            <w:vAlign w:val="center"/>
          </w:tcPr>
          <w:p w14:paraId="36EB6586" w14:textId="77777777" w:rsidR="00EA04B8" w:rsidRPr="00557C49" w:rsidRDefault="00EA04B8" w:rsidP="000567A5">
            <w:pPr>
              <w:pStyle w:val="ListParagraph"/>
              <w:widowControl/>
              <w:numPr>
                <w:ilvl w:val="0"/>
                <w:numId w:val="52"/>
              </w:numPr>
              <w:autoSpaceDE/>
              <w:autoSpaceDN/>
              <w:adjustRightInd/>
              <w:jc w:val="left"/>
              <w:rPr>
                <w:color w:val="000000"/>
                <w:sz w:val="18"/>
                <w:szCs w:val="18"/>
              </w:rPr>
            </w:pPr>
            <w:r w:rsidRPr="00557C49">
              <w:rPr>
                <w:color w:val="000000"/>
                <w:sz w:val="18"/>
                <w:szCs w:val="18"/>
              </w:rPr>
              <w:t>GSA conducts review to ensure solicitation is within scope of the EIS contracts</w:t>
            </w:r>
          </w:p>
        </w:tc>
        <w:sdt>
          <w:sdtPr>
            <w:rPr>
              <w:rFonts w:ascii="Segoe UI Symbol" w:eastAsia="MS Gothic" w:hAnsi="Segoe UI Symbol" w:cs="Segoe UI Symbol"/>
              <w:sz w:val="20"/>
              <w:szCs w:val="20"/>
            </w:rPr>
            <w:id w:val="-2121991721"/>
            <w14:checkbox>
              <w14:checked w14:val="0"/>
              <w14:checkedState w14:val="00FE" w14:font="Wingdings"/>
              <w14:uncheckedState w14:val="2610" w14:font="MS Gothic"/>
            </w14:checkbox>
          </w:sdtPr>
          <w:sdtEndPr/>
          <w:sdtContent>
            <w:tc>
              <w:tcPr>
                <w:tcW w:w="540" w:type="dxa"/>
                <w:vMerge w:val="restart"/>
                <w:vAlign w:val="center"/>
              </w:tcPr>
              <w:p w14:paraId="7FA29028" w14:textId="71DD7356" w:rsidR="00EA04B8" w:rsidRPr="00A23B3F" w:rsidRDefault="000B708C" w:rsidP="004D3659">
                <w:pPr>
                  <w:widowControl/>
                  <w:tabs>
                    <w:tab w:val="left" w:pos="3150"/>
                  </w:tabs>
                  <w:autoSpaceDE/>
                  <w:autoSpaceDN/>
                  <w:adjustRightInd/>
                  <w:spacing w:after="120"/>
                  <w:jc w:val="center"/>
                  <w:rPr>
                    <w:rFonts w:eastAsia="Calibri"/>
                    <w:b/>
                    <w:sz w:val="20"/>
                    <w:szCs w:val="20"/>
                  </w:rPr>
                </w:pPr>
                <w:r w:rsidRPr="00A23B3F">
                  <w:rPr>
                    <w:rFonts w:ascii="Segoe UI Symbol" w:eastAsia="MS Gothic" w:hAnsi="Segoe UI Symbol" w:cs="Segoe UI Symbol"/>
                    <w:sz w:val="20"/>
                    <w:szCs w:val="20"/>
                  </w:rPr>
                  <w:t>☐</w:t>
                </w:r>
              </w:p>
            </w:tc>
          </w:sdtContent>
        </w:sdt>
        <w:tc>
          <w:tcPr>
            <w:tcW w:w="1350" w:type="dxa"/>
            <w:vMerge w:val="restart"/>
            <w:vAlign w:val="center"/>
          </w:tcPr>
          <w:p w14:paraId="1A813D81" w14:textId="77777777" w:rsidR="00EA04B8" w:rsidRPr="00E436C5" w:rsidRDefault="00EA04B8" w:rsidP="004D3659">
            <w:pPr>
              <w:widowControl/>
              <w:tabs>
                <w:tab w:val="left" w:pos="3150"/>
              </w:tabs>
              <w:autoSpaceDE/>
              <w:autoSpaceDN/>
              <w:adjustRightInd/>
              <w:spacing w:after="120"/>
              <w:jc w:val="center"/>
              <w:rPr>
                <w:rFonts w:eastAsia="Calibri"/>
                <w:sz w:val="18"/>
              </w:rPr>
            </w:pPr>
            <w:r w:rsidRPr="00E436C5">
              <w:rPr>
                <w:rFonts w:eastAsia="Calibri"/>
                <w:sz w:val="18"/>
              </w:rPr>
              <w:t>Post EIS award</w:t>
            </w:r>
          </w:p>
        </w:tc>
      </w:tr>
      <w:tr w:rsidR="004F55E8" w:rsidRPr="007A4B19" w14:paraId="2C2081E1" w14:textId="77777777" w:rsidTr="00A604BE">
        <w:trPr>
          <w:cantSplit/>
          <w:trHeight w:val="440"/>
          <w:jc w:val="center"/>
        </w:trPr>
        <w:tc>
          <w:tcPr>
            <w:tcW w:w="2875" w:type="dxa"/>
            <w:vMerge/>
          </w:tcPr>
          <w:p w14:paraId="737FE780" w14:textId="77777777" w:rsidR="00EA04B8" w:rsidRPr="00C617D4" w:rsidRDefault="00EA04B8" w:rsidP="004D3659">
            <w:pPr>
              <w:widowControl/>
              <w:tabs>
                <w:tab w:val="left" w:pos="3150"/>
              </w:tabs>
              <w:autoSpaceDE/>
              <w:autoSpaceDN/>
              <w:adjustRightInd/>
              <w:spacing w:after="120"/>
              <w:rPr>
                <w:rFonts w:eastAsia="Calibri"/>
                <w:b/>
                <w:sz w:val="18"/>
                <w:szCs w:val="18"/>
              </w:rPr>
            </w:pPr>
          </w:p>
        </w:tc>
        <w:tc>
          <w:tcPr>
            <w:tcW w:w="5760" w:type="dxa"/>
            <w:vAlign w:val="center"/>
          </w:tcPr>
          <w:p w14:paraId="0CE10088" w14:textId="77777777" w:rsidR="00EA04B8" w:rsidRPr="00913457" w:rsidRDefault="00EA04B8" w:rsidP="000567A5">
            <w:pPr>
              <w:pStyle w:val="ListParagraph"/>
              <w:widowControl/>
              <w:numPr>
                <w:ilvl w:val="0"/>
                <w:numId w:val="52"/>
              </w:numPr>
              <w:autoSpaceDE/>
              <w:autoSpaceDN/>
              <w:adjustRightInd/>
              <w:jc w:val="left"/>
              <w:rPr>
                <w:color w:val="000000"/>
                <w:sz w:val="18"/>
                <w:szCs w:val="18"/>
              </w:rPr>
            </w:pPr>
            <w:r w:rsidRPr="00913457">
              <w:rPr>
                <w:color w:val="000000"/>
                <w:sz w:val="18"/>
                <w:szCs w:val="18"/>
              </w:rPr>
              <w:t>GSA may request requirement(s) to be redefined</w:t>
            </w:r>
          </w:p>
        </w:tc>
        <w:tc>
          <w:tcPr>
            <w:tcW w:w="540" w:type="dxa"/>
            <w:vMerge/>
          </w:tcPr>
          <w:p w14:paraId="2EDE0B98" w14:textId="77777777" w:rsidR="00EA04B8" w:rsidRPr="00C510B5" w:rsidRDefault="00EA04B8" w:rsidP="004D3659">
            <w:pPr>
              <w:widowControl/>
              <w:tabs>
                <w:tab w:val="left" w:pos="3150"/>
              </w:tabs>
              <w:autoSpaceDE/>
              <w:autoSpaceDN/>
              <w:adjustRightInd/>
              <w:spacing w:after="120"/>
              <w:rPr>
                <w:rFonts w:eastAsia="Calibri"/>
                <w:b/>
                <w:sz w:val="18"/>
                <w:szCs w:val="20"/>
              </w:rPr>
            </w:pPr>
          </w:p>
        </w:tc>
        <w:tc>
          <w:tcPr>
            <w:tcW w:w="1350" w:type="dxa"/>
            <w:vMerge/>
            <w:vAlign w:val="center"/>
          </w:tcPr>
          <w:p w14:paraId="176F83D0" w14:textId="77777777" w:rsidR="00EA04B8" w:rsidRPr="00C617D4" w:rsidRDefault="00EA04B8" w:rsidP="004D3659">
            <w:pPr>
              <w:widowControl/>
              <w:tabs>
                <w:tab w:val="left" w:pos="3150"/>
              </w:tabs>
              <w:autoSpaceDE/>
              <w:autoSpaceDN/>
              <w:adjustRightInd/>
              <w:spacing w:after="120"/>
              <w:rPr>
                <w:rFonts w:eastAsia="Calibri"/>
                <w:b/>
                <w:sz w:val="18"/>
                <w:szCs w:val="18"/>
              </w:rPr>
            </w:pPr>
          </w:p>
        </w:tc>
      </w:tr>
      <w:tr w:rsidR="004F55E8" w:rsidRPr="007A4B19" w14:paraId="7048495E" w14:textId="77777777" w:rsidTr="0014363D">
        <w:trPr>
          <w:cantSplit/>
          <w:jc w:val="center"/>
        </w:trPr>
        <w:tc>
          <w:tcPr>
            <w:tcW w:w="2875" w:type="dxa"/>
            <w:shd w:val="clear" w:color="auto" w:fill="DBE5F1" w:themeFill="accent1" w:themeFillTint="33"/>
            <w:vAlign w:val="center"/>
          </w:tcPr>
          <w:p w14:paraId="76235ADE" w14:textId="1DBE61DD" w:rsidR="005D7412" w:rsidRPr="00E436C5" w:rsidRDefault="00EA04B8" w:rsidP="00844874">
            <w:pPr>
              <w:widowControl/>
              <w:autoSpaceDE/>
              <w:autoSpaceDN/>
              <w:adjustRightInd/>
              <w:jc w:val="left"/>
              <w:rPr>
                <w:color w:val="000000"/>
                <w:sz w:val="18"/>
              </w:rPr>
            </w:pPr>
            <w:r w:rsidRPr="00E436C5">
              <w:rPr>
                <w:color w:val="000000"/>
                <w:sz w:val="18"/>
              </w:rPr>
              <w:t xml:space="preserve">Release FO solicitations to EIS </w:t>
            </w:r>
            <w:r w:rsidR="00844874" w:rsidRPr="00C617D4">
              <w:rPr>
                <w:color w:val="000000"/>
                <w:sz w:val="18"/>
                <w:szCs w:val="18"/>
              </w:rPr>
              <w:t>contractors</w:t>
            </w:r>
          </w:p>
        </w:tc>
        <w:tc>
          <w:tcPr>
            <w:tcW w:w="5760" w:type="dxa"/>
            <w:shd w:val="clear" w:color="auto" w:fill="DBE5F1" w:themeFill="accent1" w:themeFillTint="33"/>
          </w:tcPr>
          <w:p w14:paraId="4561F773" w14:textId="77777777" w:rsidR="005D7412" w:rsidRPr="00A23B3F" w:rsidRDefault="005D7412" w:rsidP="004D3659">
            <w:pPr>
              <w:widowControl/>
              <w:tabs>
                <w:tab w:val="left" w:pos="3150"/>
              </w:tabs>
              <w:autoSpaceDE/>
              <w:autoSpaceDN/>
              <w:adjustRightInd/>
              <w:spacing w:after="120"/>
              <w:rPr>
                <w:rFonts w:eastAsia="Calibri"/>
                <w:b/>
                <w:sz w:val="20"/>
                <w:szCs w:val="20"/>
              </w:rPr>
            </w:pPr>
          </w:p>
        </w:tc>
        <w:sdt>
          <w:sdtPr>
            <w:rPr>
              <w:rFonts w:ascii="Segoe UI Symbol" w:eastAsia="MS Gothic" w:hAnsi="Segoe UI Symbol" w:cs="Segoe UI Symbol"/>
              <w:sz w:val="20"/>
              <w:szCs w:val="20"/>
            </w:rPr>
            <w:id w:val="-1801443079"/>
            <w14:checkbox>
              <w14:checked w14:val="0"/>
              <w14:checkedState w14:val="00FE" w14:font="Wingdings"/>
              <w14:uncheckedState w14:val="2610" w14:font="MS Gothic"/>
            </w14:checkbox>
          </w:sdtPr>
          <w:sdtEndPr/>
          <w:sdtContent>
            <w:tc>
              <w:tcPr>
                <w:tcW w:w="540" w:type="dxa"/>
                <w:shd w:val="clear" w:color="auto" w:fill="DBE5F1" w:themeFill="accent1" w:themeFillTint="33"/>
                <w:vAlign w:val="center"/>
              </w:tcPr>
              <w:p w14:paraId="5A5ED9E8" w14:textId="3D2489AF" w:rsidR="005D7412" w:rsidRPr="00A23B3F" w:rsidRDefault="000B708C" w:rsidP="004D3659">
                <w:pPr>
                  <w:widowControl/>
                  <w:tabs>
                    <w:tab w:val="left" w:pos="3150"/>
                  </w:tabs>
                  <w:autoSpaceDE/>
                  <w:autoSpaceDN/>
                  <w:adjustRightInd/>
                  <w:spacing w:after="120"/>
                  <w:jc w:val="center"/>
                  <w:rPr>
                    <w:rFonts w:eastAsia="Calibri"/>
                    <w:b/>
                    <w:sz w:val="20"/>
                    <w:szCs w:val="20"/>
                  </w:rPr>
                </w:pPr>
                <w:r w:rsidRPr="00A23B3F">
                  <w:rPr>
                    <w:rFonts w:ascii="Segoe UI Symbol" w:eastAsia="MS Gothic" w:hAnsi="Segoe UI Symbol" w:cs="Segoe UI Symbol"/>
                    <w:sz w:val="20"/>
                    <w:szCs w:val="20"/>
                  </w:rPr>
                  <w:t>☐</w:t>
                </w:r>
              </w:p>
            </w:tc>
          </w:sdtContent>
        </w:sdt>
        <w:tc>
          <w:tcPr>
            <w:tcW w:w="1350" w:type="dxa"/>
            <w:shd w:val="clear" w:color="auto" w:fill="DBE5F1" w:themeFill="accent1" w:themeFillTint="33"/>
            <w:vAlign w:val="center"/>
          </w:tcPr>
          <w:p w14:paraId="03DA7F0A" w14:textId="2BBD223E" w:rsidR="005D7412" w:rsidRPr="00E436C5" w:rsidRDefault="00DF4B54" w:rsidP="002C1CE8">
            <w:pPr>
              <w:widowControl/>
              <w:tabs>
                <w:tab w:val="left" w:pos="3150"/>
              </w:tabs>
              <w:autoSpaceDE/>
              <w:autoSpaceDN/>
              <w:adjustRightInd/>
              <w:spacing w:after="120"/>
              <w:jc w:val="center"/>
              <w:rPr>
                <w:rFonts w:eastAsia="Calibri"/>
                <w:sz w:val="18"/>
              </w:rPr>
            </w:pPr>
            <w:r w:rsidRPr="00C617D4">
              <w:rPr>
                <w:rFonts w:eastAsia="Calibri"/>
                <w:sz w:val="18"/>
                <w:szCs w:val="18"/>
              </w:rPr>
              <w:t>Mar 2019</w:t>
            </w:r>
          </w:p>
        </w:tc>
      </w:tr>
      <w:tr w:rsidR="004F55E8" w:rsidRPr="007A4B19" w14:paraId="162B6AA8" w14:textId="77777777" w:rsidTr="0014363D">
        <w:trPr>
          <w:cantSplit/>
          <w:jc w:val="center"/>
        </w:trPr>
        <w:tc>
          <w:tcPr>
            <w:tcW w:w="2875" w:type="dxa"/>
            <w:shd w:val="clear" w:color="auto" w:fill="FFFFFF" w:themeFill="background1"/>
            <w:vAlign w:val="center"/>
          </w:tcPr>
          <w:p w14:paraId="203397D5" w14:textId="77777777" w:rsidR="00351780" w:rsidRPr="00E436C5" w:rsidRDefault="00D664FD" w:rsidP="004D3659">
            <w:pPr>
              <w:widowControl/>
              <w:autoSpaceDE/>
              <w:autoSpaceDN/>
              <w:adjustRightInd/>
              <w:jc w:val="left"/>
              <w:rPr>
                <w:color w:val="000000"/>
                <w:sz w:val="18"/>
              </w:rPr>
            </w:pPr>
            <w:r w:rsidRPr="00E436C5">
              <w:rPr>
                <w:color w:val="000000"/>
                <w:sz w:val="18"/>
              </w:rPr>
              <w:t>Update ATP and provide to GSA</w:t>
            </w:r>
          </w:p>
        </w:tc>
        <w:tc>
          <w:tcPr>
            <w:tcW w:w="5760" w:type="dxa"/>
            <w:shd w:val="clear" w:color="auto" w:fill="FFFFFF" w:themeFill="background1"/>
            <w:vAlign w:val="center"/>
          </w:tcPr>
          <w:p w14:paraId="76548371" w14:textId="77777777" w:rsidR="00351780" w:rsidRPr="00A23B3F" w:rsidRDefault="00351780" w:rsidP="004D3659">
            <w:pPr>
              <w:widowControl/>
              <w:tabs>
                <w:tab w:val="left" w:pos="3150"/>
              </w:tabs>
              <w:autoSpaceDE/>
              <w:autoSpaceDN/>
              <w:adjustRightInd/>
              <w:spacing w:after="120"/>
              <w:rPr>
                <w:rFonts w:eastAsia="Calibri"/>
                <w:b/>
                <w:sz w:val="20"/>
                <w:szCs w:val="20"/>
              </w:rPr>
            </w:pPr>
          </w:p>
        </w:tc>
        <w:sdt>
          <w:sdtPr>
            <w:rPr>
              <w:rFonts w:ascii="MS Gothic" w:eastAsia="MS Gothic" w:hAnsi="MS Gothic"/>
              <w:sz w:val="20"/>
              <w:szCs w:val="20"/>
            </w:rPr>
            <w:id w:val="1639832484"/>
            <w14:checkbox>
              <w14:checked w14:val="0"/>
              <w14:checkedState w14:val="00FE" w14:font="Wingdings"/>
              <w14:uncheckedState w14:val="2610" w14:font="MS Gothic"/>
            </w14:checkbox>
          </w:sdtPr>
          <w:sdtEndPr/>
          <w:sdtContent>
            <w:tc>
              <w:tcPr>
                <w:tcW w:w="540" w:type="dxa"/>
                <w:shd w:val="clear" w:color="auto" w:fill="FFFFFF" w:themeFill="background1"/>
                <w:vAlign w:val="center"/>
              </w:tcPr>
              <w:p w14:paraId="234387AE" w14:textId="66862B0D" w:rsidR="00351780" w:rsidRPr="00A23B3F" w:rsidRDefault="0014363D" w:rsidP="004D3659">
                <w:pPr>
                  <w:widowControl/>
                  <w:tabs>
                    <w:tab w:val="left" w:pos="3150"/>
                  </w:tabs>
                  <w:autoSpaceDE/>
                  <w:autoSpaceDN/>
                  <w:adjustRightInd/>
                  <w:spacing w:after="120"/>
                  <w:jc w:val="center"/>
                  <w:rPr>
                    <w:rFonts w:eastAsia="Calibri"/>
                    <w:b/>
                    <w:sz w:val="20"/>
                    <w:szCs w:val="20"/>
                  </w:rPr>
                </w:pPr>
                <w:r w:rsidRPr="00A23B3F">
                  <w:rPr>
                    <w:rFonts w:ascii="MS Gothic" w:eastAsia="MS Gothic" w:hAnsi="MS Gothic"/>
                    <w:sz w:val="20"/>
                    <w:szCs w:val="20"/>
                  </w:rPr>
                  <w:t>☐</w:t>
                </w:r>
              </w:p>
            </w:tc>
          </w:sdtContent>
        </w:sdt>
        <w:tc>
          <w:tcPr>
            <w:tcW w:w="1350" w:type="dxa"/>
            <w:shd w:val="clear" w:color="auto" w:fill="FFFFFF" w:themeFill="background1"/>
            <w:vAlign w:val="center"/>
          </w:tcPr>
          <w:p w14:paraId="70B8DAFA" w14:textId="77777777" w:rsidR="005374BB" w:rsidRPr="00E436C5" w:rsidRDefault="005374BB" w:rsidP="0014363D">
            <w:pPr>
              <w:widowControl/>
              <w:tabs>
                <w:tab w:val="left" w:pos="3150"/>
              </w:tabs>
              <w:autoSpaceDE/>
              <w:autoSpaceDN/>
              <w:adjustRightInd/>
              <w:spacing w:after="120"/>
              <w:jc w:val="center"/>
              <w:rPr>
                <w:rFonts w:eastAsia="Calibri"/>
                <w:sz w:val="6"/>
              </w:rPr>
            </w:pPr>
          </w:p>
          <w:p w14:paraId="7EB58E92" w14:textId="2A34A4D2" w:rsidR="0014363D" w:rsidRPr="00E436C5" w:rsidRDefault="006504F8" w:rsidP="0014363D">
            <w:pPr>
              <w:widowControl/>
              <w:tabs>
                <w:tab w:val="left" w:pos="3150"/>
              </w:tabs>
              <w:autoSpaceDE/>
              <w:autoSpaceDN/>
              <w:adjustRightInd/>
              <w:spacing w:after="120"/>
              <w:jc w:val="center"/>
              <w:rPr>
                <w:rFonts w:eastAsia="Calibri"/>
                <w:sz w:val="18"/>
              </w:rPr>
            </w:pPr>
            <w:r w:rsidRPr="00E436C5">
              <w:rPr>
                <w:rFonts w:eastAsia="Calibri"/>
                <w:sz w:val="18"/>
              </w:rPr>
              <w:t>As appropriate</w:t>
            </w:r>
          </w:p>
        </w:tc>
      </w:tr>
      <w:tr w:rsidR="004F55E8" w:rsidRPr="007A4B19" w14:paraId="1CD3D07E" w14:textId="77777777" w:rsidTr="0014363D">
        <w:trPr>
          <w:cantSplit/>
          <w:jc w:val="center"/>
        </w:trPr>
        <w:tc>
          <w:tcPr>
            <w:tcW w:w="2875" w:type="dxa"/>
            <w:vMerge w:val="restart"/>
            <w:shd w:val="clear" w:color="auto" w:fill="DBE5F1" w:themeFill="accent1" w:themeFillTint="33"/>
            <w:vAlign w:val="center"/>
          </w:tcPr>
          <w:p w14:paraId="1AA76D00" w14:textId="11D77EE4" w:rsidR="00EA04B8" w:rsidRPr="00E436C5" w:rsidRDefault="00EA04B8" w:rsidP="00844874">
            <w:pPr>
              <w:widowControl/>
              <w:tabs>
                <w:tab w:val="left" w:pos="3150"/>
              </w:tabs>
              <w:autoSpaceDE/>
              <w:autoSpaceDN/>
              <w:adjustRightInd/>
              <w:spacing w:after="120"/>
              <w:jc w:val="left"/>
              <w:rPr>
                <w:rFonts w:eastAsia="Calibri"/>
                <w:sz w:val="18"/>
              </w:rPr>
            </w:pPr>
            <w:r w:rsidRPr="00E436C5">
              <w:rPr>
                <w:rFonts w:eastAsia="Calibri"/>
                <w:sz w:val="18"/>
              </w:rPr>
              <w:t xml:space="preserve">Conduct FO </w:t>
            </w:r>
            <w:r w:rsidR="00844874" w:rsidRPr="00C617D4">
              <w:rPr>
                <w:rFonts w:eastAsia="Calibri"/>
                <w:sz w:val="18"/>
                <w:szCs w:val="18"/>
              </w:rPr>
              <w:t>decision</w:t>
            </w:r>
          </w:p>
        </w:tc>
        <w:tc>
          <w:tcPr>
            <w:tcW w:w="5760" w:type="dxa"/>
            <w:shd w:val="clear" w:color="auto" w:fill="DBE5F1" w:themeFill="accent1" w:themeFillTint="33"/>
            <w:vAlign w:val="center"/>
          </w:tcPr>
          <w:p w14:paraId="240D54CB" w14:textId="0CA15222" w:rsidR="00EA04B8" w:rsidRPr="00E436C5" w:rsidRDefault="00EA04B8" w:rsidP="000567A5">
            <w:pPr>
              <w:pStyle w:val="ListParagraph"/>
              <w:widowControl/>
              <w:numPr>
                <w:ilvl w:val="0"/>
                <w:numId w:val="42"/>
              </w:numPr>
              <w:autoSpaceDE/>
              <w:autoSpaceDN/>
              <w:adjustRightInd/>
              <w:jc w:val="left"/>
              <w:rPr>
                <w:color w:val="000000"/>
                <w:sz w:val="18"/>
              </w:rPr>
            </w:pPr>
            <w:r w:rsidRPr="00E436C5">
              <w:rPr>
                <w:color w:val="000000"/>
                <w:sz w:val="18"/>
              </w:rPr>
              <w:t xml:space="preserve">Evaluate </w:t>
            </w:r>
            <w:r w:rsidR="005373DE">
              <w:rPr>
                <w:color w:val="000000"/>
                <w:sz w:val="18"/>
                <w:szCs w:val="18"/>
              </w:rPr>
              <w:t>o</w:t>
            </w:r>
            <w:r w:rsidR="005373DE" w:rsidRPr="00C617D4">
              <w:rPr>
                <w:color w:val="000000"/>
                <w:sz w:val="18"/>
                <w:szCs w:val="18"/>
              </w:rPr>
              <w:t>ffers</w:t>
            </w:r>
            <w:r w:rsidR="005373DE" w:rsidRPr="00E436C5">
              <w:rPr>
                <w:color w:val="000000"/>
                <w:sz w:val="18"/>
              </w:rPr>
              <w:t xml:space="preserve"> </w:t>
            </w:r>
            <w:r w:rsidRPr="00E436C5">
              <w:rPr>
                <w:color w:val="000000"/>
                <w:sz w:val="18"/>
              </w:rPr>
              <w:t xml:space="preserve">from EIS </w:t>
            </w:r>
            <w:r w:rsidR="005373DE">
              <w:rPr>
                <w:color w:val="000000"/>
                <w:sz w:val="18"/>
                <w:szCs w:val="18"/>
              </w:rPr>
              <w:t>c</w:t>
            </w:r>
            <w:r w:rsidRPr="00C617D4">
              <w:rPr>
                <w:color w:val="000000"/>
                <w:sz w:val="18"/>
                <w:szCs w:val="18"/>
              </w:rPr>
              <w:t>ontractors</w:t>
            </w:r>
          </w:p>
        </w:tc>
        <w:sdt>
          <w:sdtPr>
            <w:rPr>
              <w:rFonts w:ascii="Segoe UI Symbol" w:eastAsia="MS Gothic" w:hAnsi="Segoe UI Symbol" w:cs="Segoe UI Symbol"/>
              <w:sz w:val="20"/>
              <w:szCs w:val="20"/>
            </w:rPr>
            <w:id w:val="885683844"/>
            <w14:checkbox>
              <w14:checked w14:val="0"/>
              <w14:checkedState w14:val="00FE" w14:font="Wingdings"/>
              <w14:uncheckedState w14:val="2610" w14:font="MS Gothic"/>
            </w14:checkbox>
          </w:sdtPr>
          <w:sdtEndPr/>
          <w:sdtContent>
            <w:tc>
              <w:tcPr>
                <w:tcW w:w="540" w:type="dxa"/>
                <w:vMerge w:val="restart"/>
                <w:shd w:val="clear" w:color="auto" w:fill="DBE5F1" w:themeFill="accent1" w:themeFillTint="33"/>
                <w:vAlign w:val="center"/>
              </w:tcPr>
              <w:p w14:paraId="2E7AC7A3" w14:textId="5B60FF53" w:rsidR="00EA04B8" w:rsidRPr="00A23B3F" w:rsidRDefault="000B708C" w:rsidP="004D3659">
                <w:pPr>
                  <w:widowControl/>
                  <w:tabs>
                    <w:tab w:val="left" w:pos="3150"/>
                  </w:tabs>
                  <w:autoSpaceDE/>
                  <w:autoSpaceDN/>
                  <w:adjustRightInd/>
                  <w:spacing w:after="120"/>
                  <w:jc w:val="center"/>
                  <w:rPr>
                    <w:rFonts w:eastAsia="Calibri"/>
                    <w:sz w:val="20"/>
                    <w:szCs w:val="20"/>
                  </w:rPr>
                </w:pPr>
                <w:r w:rsidRPr="00A23B3F">
                  <w:rPr>
                    <w:rFonts w:ascii="Segoe UI Symbol" w:eastAsia="MS Gothic" w:hAnsi="Segoe UI Symbol" w:cs="Segoe UI Symbol"/>
                    <w:sz w:val="20"/>
                    <w:szCs w:val="20"/>
                  </w:rPr>
                  <w:t>☐</w:t>
                </w:r>
              </w:p>
            </w:tc>
          </w:sdtContent>
        </w:sdt>
        <w:tc>
          <w:tcPr>
            <w:tcW w:w="1350" w:type="dxa"/>
            <w:vMerge w:val="restart"/>
            <w:shd w:val="clear" w:color="auto" w:fill="DBE5F1" w:themeFill="accent1" w:themeFillTint="33"/>
            <w:vAlign w:val="center"/>
          </w:tcPr>
          <w:p w14:paraId="37499487" w14:textId="23D88CD7" w:rsidR="00EA04B8" w:rsidRPr="00E436C5" w:rsidRDefault="006504F8" w:rsidP="00527E62">
            <w:pPr>
              <w:widowControl/>
              <w:tabs>
                <w:tab w:val="left" w:pos="3150"/>
              </w:tabs>
              <w:autoSpaceDE/>
              <w:autoSpaceDN/>
              <w:adjustRightInd/>
              <w:spacing w:after="120"/>
              <w:jc w:val="center"/>
              <w:rPr>
                <w:rFonts w:eastAsia="Calibri"/>
                <w:sz w:val="18"/>
              </w:rPr>
            </w:pPr>
            <w:r w:rsidRPr="00E436C5">
              <w:rPr>
                <w:rFonts w:eastAsia="Calibri"/>
                <w:sz w:val="18"/>
              </w:rPr>
              <w:t>Oct 2017-</w:t>
            </w:r>
            <w:r w:rsidR="00527E62" w:rsidRPr="00C617D4">
              <w:rPr>
                <w:rFonts w:eastAsia="Calibri"/>
                <w:sz w:val="18"/>
                <w:szCs w:val="18"/>
              </w:rPr>
              <w:t>Sept 2019</w:t>
            </w:r>
            <w:r w:rsidR="00EA04B8" w:rsidRPr="00E436C5">
              <w:rPr>
                <w:rFonts w:eastAsia="Calibri"/>
                <w:sz w:val="18"/>
              </w:rPr>
              <w:t>; in parallel with BSS Testing</w:t>
            </w:r>
          </w:p>
        </w:tc>
      </w:tr>
      <w:tr w:rsidR="004F55E8" w:rsidRPr="007A4B19" w14:paraId="3FA070B6" w14:textId="77777777" w:rsidTr="0014363D">
        <w:trPr>
          <w:cantSplit/>
          <w:jc w:val="center"/>
        </w:trPr>
        <w:tc>
          <w:tcPr>
            <w:tcW w:w="2875" w:type="dxa"/>
            <w:vMerge/>
            <w:shd w:val="clear" w:color="auto" w:fill="DBE5F1" w:themeFill="accent1" w:themeFillTint="33"/>
          </w:tcPr>
          <w:p w14:paraId="04F23643" w14:textId="77777777" w:rsidR="00EA04B8" w:rsidRPr="00C617D4" w:rsidRDefault="00EA04B8" w:rsidP="004D3659">
            <w:pPr>
              <w:widowControl/>
              <w:tabs>
                <w:tab w:val="left" w:pos="3150"/>
              </w:tabs>
              <w:autoSpaceDE/>
              <w:autoSpaceDN/>
              <w:adjustRightInd/>
              <w:spacing w:after="120"/>
              <w:rPr>
                <w:rFonts w:eastAsia="Calibri"/>
                <w:b/>
                <w:sz w:val="18"/>
                <w:szCs w:val="18"/>
              </w:rPr>
            </w:pPr>
          </w:p>
        </w:tc>
        <w:tc>
          <w:tcPr>
            <w:tcW w:w="5760" w:type="dxa"/>
            <w:shd w:val="clear" w:color="auto" w:fill="DBE5F1" w:themeFill="accent1" w:themeFillTint="33"/>
            <w:vAlign w:val="center"/>
          </w:tcPr>
          <w:p w14:paraId="5B185C90" w14:textId="459FC735" w:rsidR="00EA04B8" w:rsidRPr="00913457" w:rsidRDefault="00EA04B8" w:rsidP="000567A5">
            <w:pPr>
              <w:pStyle w:val="ListParagraph"/>
              <w:widowControl/>
              <w:numPr>
                <w:ilvl w:val="0"/>
                <w:numId w:val="42"/>
              </w:numPr>
              <w:autoSpaceDE/>
              <w:autoSpaceDN/>
              <w:adjustRightInd/>
              <w:jc w:val="left"/>
              <w:rPr>
                <w:color w:val="000000"/>
                <w:sz w:val="18"/>
                <w:szCs w:val="18"/>
              </w:rPr>
            </w:pPr>
            <w:r w:rsidRPr="00913457">
              <w:rPr>
                <w:color w:val="000000"/>
                <w:sz w:val="18"/>
                <w:szCs w:val="18"/>
              </w:rPr>
              <w:t xml:space="preserve">Document </w:t>
            </w:r>
            <w:r w:rsidR="005373DE">
              <w:rPr>
                <w:color w:val="000000"/>
                <w:sz w:val="18"/>
                <w:szCs w:val="18"/>
              </w:rPr>
              <w:t>f</w:t>
            </w:r>
            <w:r w:rsidRPr="00913457">
              <w:rPr>
                <w:color w:val="000000"/>
                <w:sz w:val="18"/>
                <w:szCs w:val="18"/>
              </w:rPr>
              <w:t>indings</w:t>
            </w:r>
          </w:p>
        </w:tc>
        <w:tc>
          <w:tcPr>
            <w:tcW w:w="540" w:type="dxa"/>
            <w:vMerge/>
            <w:shd w:val="clear" w:color="auto" w:fill="DBE5F1" w:themeFill="accent1" w:themeFillTint="33"/>
          </w:tcPr>
          <w:p w14:paraId="50A3F14E" w14:textId="77777777" w:rsidR="00EA04B8" w:rsidRPr="00C510B5" w:rsidRDefault="00EA04B8" w:rsidP="004D3659">
            <w:pPr>
              <w:widowControl/>
              <w:tabs>
                <w:tab w:val="left" w:pos="3150"/>
              </w:tabs>
              <w:autoSpaceDE/>
              <w:autoSpaceDN/>
              <w:adjustRightInd/>
              <w:spacing w:after="120"/>
              <w:rPr>
                <w:rFonts w:eastAsia="Calibri"/>
                <w:sz w:val="18"/>
                <w:szCs w:val="20"/>
              </w:rPr>
            </w:pPr>
          </w:p>
        </w:tc>
        <w:tc>
          <w:tcPr>
            <w:tcW w:w="1350" w:type="dxa"/>
            <w:vMerge/>
            <w:shd w:val="clear" w:color="auto" w:fill="DBE5F1" w:themeFill="accent1" w:themeFillTint="33"/>
            <w:vAlign w:val="center"/>
          </w:tcPr>
          <w:p w14:paraId="3C6D13E1" w14:textId="77777777" w:rsidR="00EA04B8" w:rsidRPr="00C617D4" w:rsidRDefault="00EA04B8" w:rsidP="004D3659">
            <w:pPr>
              <w:widowControl/>
              <w:tabs>
                <w:tab w:val="left" w:pos="3150"/>
              </w:tabs>
              <w:autoSpaceDE/>
              <w:autoSpaceDN/>
              <w:adjustRightInd/>
              <w:spacing w:after="120"/>
              <w:rPr>
                <w:rFonts w:eastAsia="Calibri"/>
                <w:b/>
                <w:sz w:val="18"/>
                <w:szCs w:val="18"/>
              </w:rPr>
            </w:pPr>
          </w:p>
        </w:tc>
      </w:tr>
      <w:tr w:rsidR="004F55E8" w:rsidRPr="007A4B19" w14:paraId="741ED4D7" w14:textId="77777777" w:rsidTr="0014363D">
        <w:trPr>
          <w:cantSplit/>
          <w:jc w:val="center"/>
        </w:trPr>
        <w:tc>
          <w:tcPr>
            <w:tcW w:w="2875" w:type="dxa"/>
            <w:vMerge/>
            <w:shd w:val="clear" w:color="auto" w:fill="DBE5F1" w:themeFill="accent1" w:themeFillTint="33"/>
          </w:tcPr>
          <w:p w14:paraId="0910C505" w14:textId="77777777" w:rsidR="00EA04B8" w:rsidRPr="00C617D4" w:rsidRDefault="00EA04B8" w:rsidP="004D3659">
            <w:pPr>
              <w:widowControl/>
              <w:tabs>
                <w:tab w:val="left" w:pos="3150"/>
              </w:tabs>
              <w:autoSpaceDE/>
              <w:autoSpaceDN/>
              <w:adjustRightInd/>
              <w:spacing w:after="120"/>
              <w:rPr>
                <w:rFonts w:eastAsia="Calibri"/>
                <w:b/>
                <w:sz w:val="18"/>
                <w:szCs w:val="18"/>
              </w:rPr>
            </w:pPr>
          </w:p>
        </w:tc>
        <w:tc>
          <w:tcPr>
            <w:tcW w:w="5760" w:type="dxa"/>
            <w:shd w:val="clear" w:color="auto" w:fill="DBE5F1" w:themeFill="accent1" w:themeFillTint="33"/>
            <w:vAlign w:val="center"/>
          </w:tcPr>
          <w:p w14:paraId="63630E8E" w14:textId="1DAA1173" w:rsidR="00EA04B8" w:rsidRPr="00C510B5" w:rsidRDefault="00EA04B8" w:rsidP="000567A5">
            <w:pPr>
              <w:pStyle w:val="ListParagraph"/>
              <w:widowControl/>
              <w:numPr>
                <w:ilvl w:val="0"/>
                <w:numId w:val="42"/>
              </w:numPr>
              <w:autoSpaceDE/>
              <w:autoSpaceDN/>
              <w:adjustRightInd/>
              <w:jc w:val="left"/>
              <w:rPr>
                <w:color w:val="000000"/>
                <w:sz w:val="18"/>
                <w:szCs w:val="20"/>
              </w:rPr>
            </w:pPr>
            <w:r w:rsidRPr="00C510B5">
              <w:rPr>
                <w:color w:val="000000"/>
                <w:sz w:val="18"/>
                <w:szCs w:val="20"/>
              </w:rPr>
              <w:t xml:space="preserve">Select </w:t>
            </w:r>
            <w:r w:rsidR="005373DE">
              <w:rPr>
                <w:color w:val="000000"/>
                <w:sz w:val="18"/>
                <w:szCs w:val="20"/>
              </w:rPr>
              <w:t>c</w:t>
            </w:r>
            <w:r w:rsidRPr="00C510B5">
              <w:rPr>
                <w:color w:val="000000"/>
                <w:sz w:val="18"/>
                <w:szCs w:val="20"/>
              </w:rPr>
              <w:t>ontractor(s)</w:t>
            </w:r>
          </w:p>
        </w:tc>
        <w:tc>
          <w:tcPr>
            <w:tcW w:w="540" w:type="dxa"/>
            <w:vMerge/>
            <w:shd w:val="clear" w:color="auto" w:fill="DBE5F1" w:themeFill="accent1" w:themeFillTint="33"/>
          </w:tcPr>
          <w:p w14:paraId="6A325133" w14:textId="77777777" w:rsidR="00EA04B8" w:rsidRPr="00C510B5" w:rsidRDefault="00EA04B8" w:rsidP="004D3659">
            <w:pPr>
              <w:widowControl/>
              <w:tabs>
                <w:tab w:val="left" w:pos="3150"/>
              </w:tabs>
              <w:autoSpaceDE/>
              <w:autoSpaceDN/>
              <w:adjustRightInd/>
              <w:spacing w:after="120"/>
              <w:rPr>
                <w:rFonts w:eastAsia="Calibri"/>
                <w:sz w:val="18"/>
                <w:szCs w:val="20"/>
              </w:rPr>
            </w:pPr>
          </w:p>
        </w:tc>
        <w:tc>
          <w:tcPr>
            <w:tcW w:w="1350" w:type="dxa"/>
            <w:vMerge/>
            <w:shd w:val="clear" w:color="auto" w:fill="DBE5F1" w:themeFill="accent1" w:themeFillTint="33"/>
            <w:vAlign w:val="center"/>
          </w:tcPr>
          <w:p w14:paraId="2761F5C9" w14:textId="77777777" w:rsidR="00EA04B8" w:rsidRPr="00C617D4" w:rsidRDefault="00EA04B8" w:rsidP="004D3659">
            <w:pPr>
              <w:widowControl/>
              <w:tabs>
                <w:tab w:val="left" w:pos="3150"/>
              </w:tabs>
              <w:autoSpaceDE/>
              <w:autoSpaceDN/>
              <w:adjustRightInd/>
              <w:spacing w:after="120"/>
              <w:rPr>
                <w:rFonts w:eastAsia="Calibri"/>
                <w:b/>
                <w:sz w:val="18"/>
                <w:szCs w:val="18"/>
              </w:rPr>
            </w:pPr>
          </w:p>
        </w:tc>
      </w:tr>
      <w:tr w:rsidR="004F55E8" w:rsidRPr="007A4B19" w14:paraId="17B9B9E6" w14:textId="77777777" w:rsidTr="0014363D">
        <w:trPr>
          <w:cantSplit/>
          <w:jc w:val="center"/>
        </w:trPr>
        <w:tc>
          <w:tcPr>
            <w:tcW w:w="2875" w:type="dxa"/>
            <w:vMerge/>
            <w:shd w:val="clear" w:color="auto" w:fill="DBE5F1" w:themeFill="accent1" w:themeFillTint="33"/>
          </w:tcPr>
          <w:p w14:paraId="5DD83E7B" w14:textId="77777777" w:rsidR="00EA04B8" w:rsidRPr="00C617D4" w:rsidRDefault="00EA04B8" w:rsidP="004D3659">
            <w:pPr>
              <w:widowControl/>
              <w:tabs>
                <w:tab w:val="left" w:pos="3150"/>
              </w:tabs>
              <w:autoSpaceDE/>
              <w:autoSpaceDN/>
              <w:adjustRightInd/>
              <w:spacing w:after="120"/>
              <w:rPr>
                <w:rFonts w:eastAsia="Calibri"/>
                <w:b/>
                <w:sz w:val="18"/>
                <w:szCs w:val="18"/>
              </w:rPr>
            </w:pPr>
          </w:p>
        </w:tc>
        <w:tc>
          <w:tcPr>
            <w:tcW w:w="5760" w:type="dxa"/>
            <w:shd w:val="clear" w:color="auto" w:fill="DBE5F1" w:themeFill="accent1" w:themeFillTint="33"/>
            <w:vAlign w:val="center"/>
          </w:tcPr>
          <w:p w14:paraId="4BE1D09F" w14:textId="206C3069" w:rsidR="00EA04B8" w:rsidRPr="00C510B5" w:rsidRDefault="00EA04B8" w:rsidP="000567A5">
            <w:pPr>
              <w:pStyle w:val="ListParagraph"/>
              <w:widowControl/>
              <w:numPr>
                <w:ilvl w:val="0"/>
                <w:numId w:val="42"/>
              </w:numPr>
              <w:autoSpaceDE/>
              <w:autoSpaceDN/>
              <w:adjustRightInd/>
              <w:jc w:val="left"/>
              <w:rPr>
                <w:color w:val="000000"/>
                <w:sz w:val="18"/>
                <w:szCs w:val="20"/>
              </w:rPr>
            </w:pPr>
            <w:r w:rsidRPr="00C510B5">
              <w:rPr>
                <w:color w:val="000000"/>
                <w:sz w:val="18"/>
                <w:szCs w:val="20"/>
              </w:rPr>
              <w:t xml:space="preserve">Notify </w:t>
            </w:r>
            <w:r w:rsidR="005373DE">
              <w:rPr>
                <w:color w:val="000000"/>
                <w:sz w:val="18"/>
                <w:szCs w:val="20"/>
              </w:rPr>
              <w:t>u</w:t>
            </w:r>
            <w:r w:rsidRPr="00C510B5">
              <w:rPr>
                <w:color w:val="000000"/>
                <w:sz w:val="18"/>
                <w:szCs w:val="20"/>
              </w:rPr>
              <w:t xml:space="preserve">nsuccessful </w:t>
            </w:r>
            <w:r w:rsidR="005373DE">
              <w:rPr>
                <w:color w:val="000000"/>
                <w:sz w:val="18"/>
                <w:szCs w:val="20"/>
              </w:rPr>
              <w:t>o</w:t>
            </w:r>
            <w:r w:rsidRPr="00C510B5">
              <w:rPr>
                <w:color w:val="000000"/>
                <w:sz w:val="18"/>
                <w:szCs w:val="20"/>
              </w:rPr>
              <w:t>fferors</w:t>
            </w:r>
          </w:p>
        </w:tc>
        <w:tc>
          <w:tcPr>
            <w:tcW w:w="540" w:type="dxa"/>
            <w:vMerge/>
            <w:shd w:val="clear" w:color="auto" w:fill="DBE5F1" w:themeFill="accent1" w:themeFillTint="33"/>
          </w:tcPr>
          <w:p w14:paraId="310D38BB" w14:textId="77777777" w:rsidR="00EA04B8" w:rsidRPr="00C510B5" w:rsidRDefault="00EA04B8" w:rsidP="004D3659">
            <w:pPr>
              <w:widowControl/>
              <w:tabs>
                <w:tab w:val="left" w:pos="3150"/>
              </w:tabs>
              <w:autoSpaceDE/>
              <w:autoSpaceDN/>
              <w:adjustRightInd/>
              <w:spacing w:after="120"/>
              <w:rPr>
                <w:rFonts w:eastAsia="Calibri"/>
                <w:sz w:val="18"/>
                <w:szCs w:val="20"/>
              </w:rPr>
            </w:pPr>
          </w:p>
        </w:tc>
        <w:tc>
          <w:tcPr>
            <w:tcW w:w="1350" w:type="dxa"/>
            <w:vMerge/>
            <w:shd w:val="clear" w:color="auto" w:fill="DBE5F1" w:themeFill="accent1" w:themeFillTint="33"/>
            <w:vAlign w:val="center"/>
          </w:tcPr>
          <w:p w14:paraId="63463706" w14:textId="77777777" w:rsidR="00EA04B8" w:rsidRPr="00C617D4" w:rsidRDefault="00EA04B8" w:rsidP="004D3659">
            <w:pPr>
              <w:widowControl/>
              <w:tabs>
                <w:tab w:val="left" w:pos="3150"/>
              </w:tabs>
              <w:autoSpaceDE/>
              <w:autoSpaceDN/>
              <w:adjustRightInd/>
              <w:spacing w:after="120"/>
              <w:rPr>
                <w:rFonts w:eastAsia="Calibri"/>
                <w:b/>
                <w:sz w:val="18"/>
                <w:szCs w:val="18"/>
              </w:rPr>
            </w:pPr>
          </w:p>
        </w:tc>
      </w:tr>
      <w:tr w:rsidR="004F55E8" w:rsidRPr="007A4B19" w14:paraId="5E0DD909" w14:textId="77777777" w:rsidTr="0014363D">
        <w:trPr>
          <w:cantSplit/>
          <w:jc w:val="center"/>
        </w:trPr>
        <w:tc>
          <w:tcPr>
            <w:tcW w:w="2875" w:type="dxa"/>
            <w:vMerge/>
            <w:shd w:val="clear" w:color="auto" w:fill="DBE5F1" w:themeFill="accent1" w:themeFillTint="33"/>
          </w:tcPr>
          <w:p w14:paraId="4B1D626E" w14:textId="77777777" w:rsidR="00EA04B8" w:rsidRPr="00C617D4" w:rsidRDefault="00EA04B8" w:rsidP="004D3659">
            <w:pPr>
              <w:widowControl/>
              <w:tabs>
                <w:tab w:val="left" w:pos="3150"/>
              </w:tabs>
              <w:autoSpaceDE/>
              <w:autoSpaceDN/>
              <w:adjustRightInd/>
              <w:spacing w:after="120"/>
              <w:rPr>
                <w:rFonts w:eastAsia="Calibri"/>
                <w:b/>
                <w:sz w:val="18"/>
                <w:szCs w:val="18"/>
              </w:rPr>
            </w:pPr>
          </w:p>
        </w:tc>
        <w:tc>
          <w:tcPr>
            <w:tcW w:w="5760" w:type="dxa"/>
            <w:shd w:val="clear" w:color="auto" w:fill="DBE5F1" w:themeFill="accent1" w:themeFillTint="33"/>
            <w:vAlign w:val="center"/>
          </w:tcPr>
          <w:p w14:paraId="4155E071" w14:textId="7189F87E" w:rsidR="00EA04B8" w:rsidRPr="00C510B5" w:rsidRDefault="00EA04B8" w:rsidP="000567A5">
            <w:pPr>
              <w:pStyle w:val="ListParagraph"/>
              <w:widowControl/>
              <w:numPr>
                <w:ilvl w:val="0"/>
                <w:numId w:val="42"/>
              </w:numPr>
              <w:autoSpaceDE/>
              <w:autoSpaceDN/>
              <w:adjustRightInd/>
              <w:jc w:val="left"/>
              <w:rPr>
                <w:color w:val="000000"/>
                <w:sz w:val="18"/>
                <w:szCs w:val="20"/>
              </w:rPr>
            </w:pPr>
            <w:r w:rsidRPr="00C510B5">
              <w:rPr>
                <w:color w:val="000000"/>
                <w:sz w:val="18"/>
                <w:szCs w:val="20"/>
              </w:rPr>
              <w:t xml:space="preserve">Modify EIS </w:t>
            </w:r>
            <w:r w:rsidR="005373DE">
              <w:rPr>
                <w:color w:val="000000"/>
                <w:sz w:val="18"/>
                <w:szCs w:val="20"/>
              </w:rPr>
              <w:t>c</w:t>
            </w:r>
            <w:r w:rsidRPr="00C510B5">
              <w:rPr>
                <w:color w:val="000000"/>
                <w:sz w:val="18"/>
                <w:szCs w:val="20"/>
              </w:rPr>
              <w:t>ontract, if required</w:t>
            </w:r>
          </w:p>
        </w:tc>
        <w:tc>
          <w:tcPr>
            <w:tcW w:w="540" w:type="dxa"/>
            <w:vMerge/>
            <w:shd w:val="clear" w:color="auto" w:fill="DBE5F1" w:themeFill="accent1" w:themeFillTint="33"/>
          </w:tcPr>
          <w:p w14:paraId="169017A9" w14:textId="77777777" w:rsidR="00EA04B8" w:rsidRPr="00C510B5" w:rsidRDefault="00EA04B8" w:rsidP="004D3659">
            <w:pPr>
              <w:widowControl/>
              <w:tabs>
                <w:tab w:val="left" w:pos="3150"/>
              </w:tabs>
              <w:autoSpaceDE/>
              <w:autoSpaceDN/>
              <w:adjustRightInd/>
              <w:spacing w:after="120"/>
              <w:rPr>
                <w:rFonts w:eastAsia="Calibri"/>
                <w:sz w:val="18"/>
                <w:szCs w:val="20"/>
              </w:rPr>
            </w:pPr>
          </w:p>
        </w:tc>
        <w:tc>
          <w:tcPr>
            <w:tcW w:w="1350" w:type="dxa"/>
            <w:vMerge/>
            <w:shd w:val="clear" w:color="auto" w:fill="DBE5F1" w:themeFill="accent1" w:themeFillTint="33"/>
            <w:vAlign w:val="center"/>
          </w:tcPr>
          <w:p w14:paraId="30E8623F" w14:textId="77777777" w:rsidR="00EA04B8" w:rsidRPr="00C617D4" w:rsidRDefault="00EA04B8" w:rsidP="004D3659">
            <w:pPr>
              <w:widowControl/>
              <w:tabs>
                <w:tab w:val="left" w:pos="3150"/>
              </w:tabs>
              <w:autoSpaceDE/>
              <w:autoSpaceDN/>
              <w:adjustRightInd/>
              <w:spacing w:after="120"/>
              <w:rPr>
                <w:rFonts w:eastAsia="Calibri"/>
                <w:b/>
                <w:sz w:val="18"/>
                <w:szCs w:val="18"/>
              </w:rPr>
            </w:pPr>
          </w:p>
        </w:tc>
      </w:tr>
      <w:tr w:rsidR="004F55E8" w:rsidRPr="007A4B19" w14:paraId="364C87CC" w14:textId="77777777" w:rsidTr="0014363D">
        <w:trPr>
          <w:cantSplit/>
          <w:jc w:val="center"/>
        </w:trPr>
        <w:tc>
          <w:tcPr>
            <w:tcW w:w="2875" w:type="dxa"/>
            <w:vMerge/>
            <w:shd w:val="clear" w:color="auto" w:fill="DBE5F1" w:themeFill="accent1" w:themeFillTint="33"/>
          </w:tcPr>
          <w:p w14:paraId="544C196B" w14:textId="77777777" w:rsidR="00EA04B8" w:rsidRPr="00C617D4" w:rsidRDefault="00EA04B8" w:rsidP="004D3659">
            <w:pPr>
              <w:widowControl/>
              <w:tabs>
                <w:tab w:val="left" w:pos="3150"/>
              </w:tabs>
              <w:autoSpaceDE/>
              <w:autoSpaceDN/>
              <w:adjustRightInd/>
              <w:spacing w:after="120"/>
              <w:rPr>
                <w:rFonts w:eastAsia="Calibri"/>
                <w:b/>
                <w:sz w:val="18"/>
                <w:szCs w:val="18"/>
              </w:rPr>
            </w:pPr>
          </w:p>
        </w:tc>
        <w:tc>
          <w:tcPr>
            <w:tcW w:w="5760" w:type="dxa"/>
            <w:shd w:val="clear" w:color="auto" w:fill="DBE5F1" w:themeFill="accent1" w:themeFillTint="33"/>
            <w:vAlign w:val="center"/>
          </w:tcPr>
          <w:p w14:paraId="0677EDF9" w14:textId="77777777" w:rsidR="00EA04B8" w:rsidRPr="00C510B5" w:rsidRDefault="00EA04B8" w:rsidP="000567A5">
            <w:pPr>
              <w:pStyle w:val="ListParagraph"/>
              <w:widowControl/>
              <w:numPr>
                <w:ilvl w:val="0"/>
                <w:numId w:val="42"/>
              </w:numPr>
              <w:autoSpaceDE/>
              <w:autoSpaceDN/>
              <w:adjustRightInd/>
              <w:jc w:val="left"/>
              <w:rPr>
                <w:color w:val="000000"/>
                <w:sz w:val="18"/>
                <w:szCs w:val="20"/>
              </w:rPr>
            </w:pPr>
            <w:r w:rsidRPr="00C510B5">
              <w:rPr>
                <w:color w:val="000000"/>
                <w:sz w:val="18"/>
                <w:szCs w:val="20"/>
              </w:rPr>
              <w:t>Debrief, as applicable</w:t>
            </w:r>
          </w:p>
        </w:tc>
        <w:tc>
          <w:tcPr>
            <w:tcW w:w="540" w:type="dxa"/>
            <w:vMerge/>
            <w:shd w:val="clear" w:color="auto" w:fill="DBE5F1" w:themeFill="accent1" w:themeFillTint="33"/>
          </w:tcPr>
          <w:p w14:paraId="41F1239A" w14:textId="77777777" w:rsidR="00EA04B8" w:rsidRPr="00C510B5" w:rsidRDefault="00EA04B8" w:rsidP="004D3659">
            <w:pPr>
              <w:widowControl/>
              <w:tabs>
                <w:tab w:val="left" w:pos="3150"/>
              </w:tabs>
              <w:autoSpaceDE/>
              <w:autoSpaceDN/>
              <w:adjustRightInd/>
              <w:spacing w:after="120"/>
              <w:rPr>
                <w:rFonts w:eastAsia="Calibri"/>
                <w:sz w:val="18"/>
                <w:szCs w:val="20"/>
              </w:rPr>
            </w:pPr>
          </w:p>
        </w:tc>
        <w:tc>
          <w:tcPr>
            <w:tcW w:w="1350" w:type="dxa"/>
            <w:vMerge/>
            <w:shd w:val="clear" w:color="auto" w:fill="DBE5F1" w:themeFill="accent1" w:themeFillTint="33"/>
            <w:vAlign w:val="center"/>
          </w:tcPr>
          <w:p w14:paraId="5AEFA2FC" w14:textId="77777777" w:rsidR="00EA04B8" w:rsidRPr="00C617D4" w:rsidRDefault="00EA04B8" w:rsidP="004D3659">
            <w:pPr>
              <w:widowControl/>
              <w:tabs>
                <w:tab w:val="left" w:pos="3150"/>
              </w:tabs>
              <w:autoSpaceDE/>
              <w:autoSpaceDN/>
              <w:adjustRightInd/>
              <w:spacing w:after="120"/>
              <w:rPr>
                <w:rFonts w:eastAsia="Calibri"/>
                <w:b/>
                <w:sz w:val="18"/>
                <w:szCs w:val="18"/>
              </w:rPr>
            </w:pPr>
          </w:p>
        </w:tc>
      </w:tr>
      <w:tr w:rsidR="004F55E8" w:rsidRPr="007A4B19" w14:paraId="01986C52" w14:textId="77777777" w:rsidTr="00A718A8">
        <w:trPr>
          <w:cantSplit/>
          <w:trHeight w:val="800"/>
          <w:jc w:val="center"/>
        </w:trPr>
        <w:tc>
          <w:tcPr>
            <w:tcW w:w="2875" w:type="dxa"/>
            <w:vMerge w:val="restart"/>
            <w:shd w:val="clear" w:color="auto" w:fill="FFFFFF" w:themeFill="background1"/>
            <w:vAlign w:val="center"/>
          </w:tcPr>
          <w:p w14:paraId="31026651" w14:textId="550EFD7F" w:rsidR="008136BB" w:rsidRPr="00E436C5" w:rsidRDefault="008136BB" w:rsidP="00844874">
            <w:pPr>
              <w:widowControl/>
              <w:tabs>
                <w:tab w:val="left" w:pos="3150"/>
              </w:tabs>
              <w:autoSpaceDE/>
              <w:autoSpaceDN/>
              <w:adjustRightInd/>
              <w:spacing w:after="120"/>
              <w:jc w:val="left"/>
              <w:rPr>
                <w:rFonts w:eastAsia="Calibri"/>
                <w:sz w:val="18"/>
              </w:rPr>
            </w:pPr>
            <w:r w:rsidRPr="00E436C5">
              <w:rPr>
                <w:rFonts w:eastAsia="Calibri"/>
                <w:sz w:val="18"/>
              </w:rPr>
              <w:lastRenderedPageBreak/>
              <w:t xml:space="preserve">Business Support Systems (BSS) testing (EIS </w:t>
            </w:r>
            <w:r w:rsidR="00844874" w:rsidRPr="00C617D4">
              <w:rPr>
                <w:rFonts w:eastAsia="Calibri"/>
                <w:sz w:val="18"/>
                <w:szCs w:val="18"/>
              </w:rPr>
              <w:t>contractors</w:t>
            </w:r>
            <w:r w:rsidRPr="00E436C5">
              <w:rPr>
                <w:rFonts w:eastAsia="Calibri"/>
                <w:sz w:val="18"/>
              </w:rPr>
              <w:t>)</w:t>
            </w:r>
          </w:p>
        </w:tc>
        <w:tc>
          <w:tcPr>
            <w:tcW w:w="5760" w:type="dxa"/>
            <w:shd w:val="clear" w:color="auto" w:fill="FFFFFF" w:themeFill="background1"/>
            <w:vAlign w:val="center"/>
          </w:tcPr>
          <w:p w14:paraId="441BF6A9" w14:textId="77777777" w:rsidR="008136BB" w:rsidRPr="00E436C5" w:rsidRDefault="008136BB" w:rsidP="000567A5">
            <w:pPr>
              <w:pStyle w:val="ListParagraph"/>
              <w:widowControl/>
              <w:numPr>
                <w:ilvl w:val="0"/>
                <w:numId w:val="53"/>
              </w:numPr>
              <w:autoSpaceDE/>
              <w:autoSpaceDN/>
              <w:adjustRightInd/>
              <w:jc w:val="left"/>
              <w:rPr>
                <w:color w:val="000000"/>
                <w:sz w:val="18"/>
              </w:rPr>
            </w:pPr>
            <w:r w:rsidRPr="00E436C5">
              <w:rPr>
                <w:color w:val="000000"/>
                <w:sz w:val="18"/>
              </w:rPr>
              <w:t>GSA tests each EIS contractor’s BSS in accordance with BSS functional requirements and security testing for GSA FISMA A&amp;A</w:t>
            </w:r>
          </w:p>
        </w:tc>
        <w:sdt>
          <w:sdtPr>
            <w:rPr>
              <w:rFonts w:ascii="Segoe UI Symbol" w:eastAsia="MS Gothic" w:hAnsi="Segoe UI Symbol" w:cs="Segoe UI Symbol"/>
              <w:sz w:val="20"/>
              <w:szCs w:val="20"/>
            </w:rPr>
            <w:id w:val="-1684655225"/>
            <w14:checkbox>
              <w14:checked w14:val="0"/>
              <w14:checkedState w14:val="00FE" w14:font="Wingdings"/>
              <w14:uncheckedState w14:val="2610" w14:font="MS Gothic"/>
            </w14:checkbox>
          </w:sdtPr>
          <w:sdtEndPr/>
          <w:sdtContent>
            <w:tc>
              <w:tcPr>
                <w:tcW w:w="540" w:type="dxa"/>
                <w:vMerge w:val="restart"/>
                <w:shd w:val="clear" w:color="auto" w:fill="FFFFFF" w:themeFill="background1"/>
                <w:vAlign w:val="center"/>
              </w:tcPr>
              <w:p w14:paraId="7FD284F0" w14:textId="40EB3CFE" w:rsidR="008136BB" w:rsidRPr="00A23B3F" w:rsidRDefault="000B708C" w:rsidP="004D3659">
                <w:pPr>
                  <w:widowControl/>
                  <w:tabs>
                    <w:tab w:val="left" w:pos="3150"/>
                  </w:tabs>
                  <w:autoSpaceDE/>
                  <w:autoSpaceDN/>
                  <w:adjustRightInd/>
                  <w:spacing w:after="120"/>
                  <w:jc w:val="center"/>
                  <w:rPr>
                    <w:rFonts w:eastAsia="Calibri"/>
                    <w:sz w:val="20"/>
                    <w:szCs w:val="20"/>
                  </w:rPr>
                </w:pPr>
                <w:r w:rsidRPr="00A23B3F">
                  <w:rPr>
                    <w:rFonts w:ascii="Segoe UI Symbol" w:eastAsia="MS Gothic" w:hAnsi="Segoe UI Symbol" w:cs="Segoe UI Symbol"/>
                    <w:sz w:val="20"/>
                    <w:szCs w:val="20"/>
                  </w:rPr>
                  <w:t>☐</w:t>
                </w:r>
              </w:p>
            </w:tc>
          </w:sdtContent>
        </w:sdt>
        <w:tc>
          <w:tcPr>
            <w:tcW w:w="1350" w:type="dxa"/>
            <w:vMerge w:val="restart"/>
            <w:shd w:val="clear" w:color="auto" w:fill="FFFFFF" w:themeFill="background1"/>
            <w:vAlign w:val="center"/>
          </w:tcPr>
          <w:p w14:paraId="4A42D955" w14:textId="77777777" w:rsidR="008136BB" w:rsidRPr="00E436C5" w:rsidRDefault="008136BB" w:rsidP="004D3659">
            <w:pPr>
              <w:widowControl/>
              <w:tabs>
                <w:tab w:val="left" w:pos="3150"/>
              </w:tabs>
              <w:autoSpaceDE/>
              <w:autoSpaceDN/>
              <w:adjustRightInd/>
              <w:spacing w:after="120"/>
              <w:jc w:val="center"/>
              <w:rPr>
                <w:rFonts w:eastAsia="Calibri"/>
                <w:sz w:val="18"/>
              </w:rPr>
            </w:pPr>
            <w:r w:rsidRPr="00E436C5">
              <w:rPr>
                <w:rFonts w:eastAsia="Calibri"/>
                <w:sz w:val="18"/>
              </w:rPr>
              <w:t>Post EIS Award; in parallel with the FO process</w:t>
            </w:r>
          </w:p>
        </w:tc>
      </w:tr>
      <w:tr w:rsidR="004F55E8" w:rsidRPr="007A4B19" w14:paraId="60EA2EDF" w14:textId="77777777" w:rsidTr="00A718A8">
        <w:trPr>
          <w:cantSplit/>
          <w:trHeight w:val="530"/>
          <w:jc w:val="center"/>
        </w:trPr>
        <w:tc>
          <w:tcPr>
            <w:tcW w:w="2875" w:type="dxa"/>
            <w:vMerge/>
            <w:shd w:val="clear" w:color="auto" w:fill="FFFFFF" w:themeFill="background1"/>
          </w:tcPr>
          <w:p w14:paraId="4F80427B" w14:textId="77777777" w:rsidR="008136BB" w:rsidRPr="00C617D4" w:rsidRDefault="008136BB" w:rsidP="004D3659">
            <w:pPr>
              <w:widowControl/>
              <w:tabs>
                <w:tab w:val="left" w:pos="3150"/>
              </w:tabs>
              <w:autoSpaceDE/>
              <w:autoSpaceDN/>
              <w:adjustRightInd/>
              <w:spacing w:after="120"/>
              <w:rPr>
                <w:rFonts w:eastAsia="Calibri"/>
                <w:b/>
                <w:sz w:val="18"/>
                <w:szCs w:val="18"/>
              </w:rPr>
            </w:pPr>
          </w:p>
        </w:tc>
        <w:tc>
          <w:tcPr>
            <w:tcW w:w="5760" w:type="dxa"/>
            <w:shd w:val="clear" w:color="auto" w:fill="FFFFFF" w:themeFill="background1"/>
            <w:vAlign w:val="center"/>
          </w:tcPr>
          <w:p w14:paraId="06834779" w14:textId="77777777" w:rsidR="008136BB" w:rsidRPr="00C510B5" w:rsidRDefault="008136BB" w:rsidP="000567A5">
            <w:pPr>
              <w:pStyle w:val="ListParagraph"/>
              <w:widowControl/>
              <w:numPr>
                <w:ilvl w:val="0"/>
                <w:numId w:val="53"/>
              </w:numPr>
              <w:autoSpaceDE/>
              <w:autoSpaceDN/>
              <w:adjustRightInd/>
              <w:jc w:val="left"/>
              <w:rPr>
                <w:color w:val="000000"/>
                <w:sz w:val="18"/>
                <w:szCs w:val="20"/>
              </w:rPr>
            </w:pPr>
            <w:r w:rsidRPr="00C510B5">
              <w:rPr>
                <w:color w:val="000000"/>
                <w:sz w:val="18"/>
                <w:szCs w:val="20"/>
              </w:rPr>
              <w:t>Optional: Agency conduct</w:t>
            </w:r>
            <w:r w:rsidR="00A718A8" w:rsidRPr="00C510B5">
              <w:rPr>
                <w:color w:val="000000"/>
                <w:sz w:val="18"/>
                <w:szCs w:val="20"/>
              </w:rPr>
              <w:t>s</w:t>
            </w:r>
            <w:r w:rsidRPr="00C510B5">
              <w:rPr>
                <w:color w:val="000000"/>
                <w:sz w:val="18"/>
                <w:szCs w:val="20"/>
              </w:rPr>
              <w:t xml:space="preserve"> its own A&amp;A</w:t>
            </w:r>
          </w:p>
        </w:tc>
        <w:tc>
          <w:tcPr>
            <w:tcW w:w="540" w:type="dxa"/>
            <w:vMerge/>
            <w:shd w:val="clear" w:color="auto" w:fill="FFFFFF" w:themeFill="background1"/>
          </w:tcPr>
          <w:p w14:paraId="7559A347" w14:textId="77777777" w:rsidR="008136BB" w:rsidRPr="00C510B5" w:rsidRDefault="008136BB" w:rsidP="004D3659">
            <w:pPr>
              <w:widowControl/>
              <w:tabs>
                <w:tab w:val="left" w:pos="3150"/>
              </w:tabs>
              <w:autoSpaceDE/>
              <w:autoSpaceDN/>
              <w:adjustRightInd/>
              <w:spacing w:after="120"/>
              <w:rPr>
                <w:rFonts w:eastAsia="Calibri"/>
                <w:sz w:val="18"/>
                <w:szCs w:val="20"/>
              </w:rPr>
            </w:pPr>
          </w:p>
        </w:tc>
        <w:tc>
          <w:tcPr>
            <w:tcW w:w="1350" w:type="dxa"/>
            <w:vMerge/>
            <w:shd w:val="clear" w:color="auto" w:fill="FFFFFF" w:themeFill="background1"/>
            <w:vAlign w:val="center"/>
          </w:tcPr>
          <w:p w14:paraId="0AD9CF16" w14:textId="77777777" w:rsidR="008136BB" w:rsidRPr="00C617D4" w:rsidRDefault="008136BB" w:rsidP="004D3659">
            <w:pPr>
              <w:widowControl/>
              <w:tabs>
                <w:tab w:val="left" w:pos="3150"/>
              </w:tabs>
              <w:autoSpaceDE/>
              <w:autoSpaceDN/>
              <w:adjustRightInd/>
              <w:spacing w:after="120"/>
              <w:rPr>
                <w:rFonts w:eastAsia="Calibri"/>
                <w:b/>
                <w:sz w:val="18"/>
                <w:szCs w:val="18"/>
              </w:rPr>
            </w:pPr>
          </w:p>
        </w:tc>
      </w:tr>
      <w:tr w:rsidR="004F55E8" w:rsidRPr="007A4B19" w14:paraId="45A04297" w14:textId="77777777" w:rsidTr="0014363D">
        <w:trPr>
          <w:cantSplit/>
          <w:trHeight w:val="845"/>
          <w:jc w:val="center"/>
        </w:trPr>
        <w:tc>
          <w:tcPr>
            <w:tcW w:w="2875" w:type="dxa"/>
            <w:shd w:val="clear" w:color="auto" w:fill="DBE5F1" w:themeFill="accent1" w:themeFillTint="33"/>
            <w:vAlign w:val="center"/>
          </w:tcPr>
          <w:p w14:paraId="1314FD7A" w14:textId="3B1FD790" w:rsidR="005D7412" w:rsidRPr="00E436C5" w:rsidRDefault="008136BB" w:rsidP="00844874">
            <w:pPr>
              <w:widowControl/>
              <w:autoSpaceDE/>
              <w:autoSpaceDN/>
              <w:adjustRightInd/>
              <w:jc w:val="left"/>
              <w:rPr>
                <w:color w:val="000000"/>
                <w:sz w:val="18"/>
              </w:rPr>
            </w:pPr>
            <w:r w:rsidRPr="00E436C5">
              <w:rPr>
                <w:color w:val="000000"/>
                <w:sz w:val="18"/>
              </w:rPr>
              <w:t>Receive notification of successful BSS testing and FISMA A&amp;A</w:t>
            </w:r>
            <w:r w:rsidR="00924704" w:rsidRPr="00E436C5">
              <w:rPr>
                <w:color w:val="000000"/>
                <w:sz w:val="18"/>
              </w:rPr>
              <w:t xml:space="preserve"> (EIS </w:t>
            </w:r>
            <w:r w:rsidR="00844874" w:rsidRPr="00C617D4">
              <w:rPr>
                <w:color w:val="000000"/>
                <w:sz w:val="18"/>
                <w:szCs w:val="18"/>
              </w:rPr>
              <w:t>contractors</w:t>
            </w:r>
            <w:r w:rsidR="00924704" w:rsidRPr="00E436C5">
              <w:rPr>
                <w:color w:val="000000"/>
                <w:sz w:val="18"/>
              </w:rPr>
              <w:t>)</w:t>
            </w:r>
          </w:p>
        </w:tc>
        <w:tc>
          <w:tcPr>
            <w:tcW w:w="5760" w:type="dxa"/>
            <w:shd w:val="clear" w:color="auto" w:fill="DBE5F1" w:themeFill="accent1" w:themeFillTint="33"/>
            <w:vAlign w:val="center"/>
          </w:tcPr>
          <w:p w14:paraId="274CEA58" w14:textId="77777777" w:rsidR="005D7412" w:rsidRPr="00E436C5" w:rsidRDefault="008136BB" w:rsidP="004D3659">
            <w:pPr>
              <w:widowControl/>
              <w:autoSpaceDE/>
              <w:autoSpaceDN/>
              <w:adjustRightInd/>
              <w:jc w:val="left"/>
              <w:rPr>
                <w:color w:val="000000"/>
                <w:sz w:val="18"/>
              </w:rPr>
            </w:pPr>
            <w:r w:rsidRPr="00E436C5">
              <w:rPr>
                <w:color w:val="000000"/>
                <w:sz w:val="18"/>
              </w:rPr>
              <w:t>Issued by GSA CO</w:t>
            </w:r>
          </w:p>
        </w:tc>
        <w:sdt>
          <w:sdtPr>
            <w:rPr>
              <w:rFonts w:ascii="Segoe UI Symbol" w:eastAsia="MS Gothic" w:hAnsi="Segoe UI Symbol" w:cs="Segoe UI Symbol"/>
              <w:sz w:val="20"/>
              <w:szCs w:val="20"/>
            </w:rPr>
            <w:id w:val="898479212"/>
            <w14:checkbox>
              <w14:checked w14:val="0"/>
              <w14:checkedState w14:val="00FE" w14:font="Wingdings"/>
              <w14:uncheckedState w14:val="2610" w14:font="MS Gothic"/>
            </w14:checkbox>
          </w:sdtPr>
          <w:sdtEndPr/>
          <w:sdtContent>
            <w:tc>
              <w:tcPr>
                <w:tcW w:w="540" w:type="dxa"/>
                <w:shd w:val="clear" w:color="auto" w:fill="DBE5F1" w:themeFill="accent1" w:themeFillTint="33"/>
                <w:vAlign w:val="center"/>
              </w:tcPr>
              <w:p w14:paraId="4CC6EE36" w14:textId="4DEABF11" w:rsidR="005D7412" w:rsidRPr="00A23B3F" w:rsidRDefault="000B708C" w:rsidP="004D3659">
                <w:pPr>
                  <w:widowControl/>
                  <w:tabs>
                    <w:tab w:val="left" w:pos="3150"/>
                  </w:tabs>
                  <w:autoSpaceDE/>
                  <w:autoSpaceDN/>
                  <w:adjustRightInd/>
                  <w:spacing w:after="120"/>
                  <w:jc w:val="center"/>
                  <w:rPr>
                    <w:rFonts w:eastAsia="Calibri"/>
                    <w:sz w:val="20"/>
                    <w:szCs w:val="20"/>
                  </w:rPr>
                </w:pPr>
                <w:r w:rsidRPr="00A23B3F">
                  <w:rPr>
                    <w:rFonts w:ascii="Segoe UI Symbol" w:eastAsia="MS Gothic" w:hAnsi="Segoe UI Symbol" w:cs="Segoe UI Symbol"/>
                    <w:sz w:val="20"/>
                    <w:szCs w:val="20"/>
                  </w:rPr>
                  <w:t>☐</w:t>
                </w:r>
              </w:p>
            </w:tc>
          </w:sdtContent>
        </w:sdt>
        <w:tc>
          <w:tcPr>
            <w:tcW w:w="1350" w:type="dxa"/>
            <w:shd w:val="clear" w:color="auto" w:fill="DBE5F1" w:themeFill="accent1" w:themeFillTint="33"/>
            <w:vAlign w:val="center"/>
          </w:tcPr>
          <w:p w14:paraId="06AD68F5" w14:textId="77777777" w:rsidR="005D7412" w:rsidRPr="00E436C5" w:rsidRDefault="008136BB" w:rsidP="004D3659">
            <w:pPr>
              <w:widowControl/>
              <w:tabs>
                <w:tab w:val="left" w:pos="3150"/>
              </w:tabs>
              <w:autoSpaceDE/>
              <w:autoSpaceDN/>
              <w:adjustRightInd/>
              <w:spacing w:after="120"/>
              <w:jc w:val="center"/>
              <w:rPr>
                <w:rFonts w:eastAsia="Calibri"/>
                <w:sz w:val="18"/>
              </w:rPr>
            </w:pPr>
            <w:r w:rsidRPr="00E436C5">
              <w:rPr>
                <w:rFonts w:eastAsia="Calibri"/>
                <w:sz w:val="18"/>
              </w:rPr>
              <w:t>Post EIS Award</w:t>
            </w:r>
          </w:p>
        </w:tc>
      </w:tr>
      <w:tr w:rsidR="004F55E8" w:rsidRPr="007A4B19" w14:paraId="503C15B5" w14:textId="77777777" w:rsidTr="00A718A8">
        <w:trPr>
          <w:cantSplit/>
          <w:trHeight w:val="665"/>
          <w:jc w:val="center"/>
        </w:trPr>
        <w:tc>
          <w:tcPr>
            <w:tcW w:w="2875" w:type="dxa"/>
            <w:shd w:val="clear" w:color="auto" w:fill="FFFFFF" w:themeFill="background1"/>
            <w:vAlign w:val="center"/>
          </w:tcPr>
          <w:p w14:paraId="30276E8D" w14:textId="4F9D94C4" w:rsidR="008136BB" w:rsidRPr="00E436C5" w:rsidRDefault="008136BB" w:rsidP="00844874">
            <w:pPr>
              <w:widowControl/>
              <w:autoSpaceDE/>
              <w:autoSpaceDN/>
              <w:adjustRightInd/>
              <w:jc w:val="left"/>
              <w:rPr>
                <w:rFonts w:eastAsia="Calibri"/>
                <w:b/>
                <w:sz w:val="18"/>
              </w:rPr>
            </w:pPr>
            <w:r w:rsidRPr="00E436C5">
              <w:rPr>
                <w:color w:val="000000"/>
                <w:sz w:val="18"/>
              </w:rPr>
              <w:t xml:space="preserve">Agency OCO </w:t>
            </w:r>
            <w:r w:rsidR="00844874" w:rsidRPr="00C617D4">
              <w:rPr>
                <w:color w:val="000000"/>
                <w:sz w:val="18"/>
                <w:szCs w:val="18"/>
              </w:rPr>
              <w:t>awards</w:t>
            </w:r>
            <w:r w:rsidR="00844874" w:rsidRPr="00E436C5">
              <w:rPr>
                <w:color w:val="000000"/>
                <w:sz w:val="18"/>
              </w:rPr>
              <w:t xml:space="preserve"> </w:t>
            </w:r>
            <w:r w:rsidRPr="00E436C5">
              <w:rPr>
                <w:color w:val="000000"/>
                <w:sz w:val="18"/>
              </w:rPr>
              <w:t>EIS Task Order(s)</w:t>
            </w:r>
          </w:p>
        </w:tc>
        <w:tc>
          <w:tcPr>
            <w:tcW w:w="5760" w:type="dxa"/>
            <w:shd w:val="clear" w:color="auto" w:fill="FFFFFF" w:themeFill="background1"/>
            <w:vAlign w:val="center"/>
          </w:tcPr>
          <w:p w14:paraId="73C8ECF0" w14:textId="77777777" w:rsidR="008136BB" w:rsidRPr="00A23B3F" w:rsidRDefault="008136BB" w:rsidP="004D3659">
            <w:pPr>
              <w:widowControl/>
              <w:tabs>
                <w:tab w:val="left" w:pos="3150"/>
              </w:tabs>
              <w:autoSpaceDE/>
              <w:autoSpaceDN/>
              <w:adjustRightInd/>
              <w:spacing w:after="120"/>
              <w:rPr>
                <w:rFonts w:eastAsia="Calibri"/>
                <w:b/>
                <w:sz w:val="20"/>
                <w:szCs w:val="20"/>
              </w:rPr>
            </w:pPr>
          </w:p>
        </w:tc>
        <w:sdt>
          <w:sdtPr>
            <w:rPr>
              <w:rFonts w:ascii="Segoe UI Symbol" w:eastAsia="MS Gothic" w:hAnsi="Segoe UI Symbol" w:cs="Segoe UI Symbol"/>
              <w:sz w:val="20"/>
              <w:szCs w:val="20"/>
            </w:rPr>
            <w:id w:val="-1965653098"/>
            <w14:checkbox>
              <w14:checked w14:val="0"/>
              <w14:checkedState w14:val="00FE" w14:font="Wingdings"/>
              <w14:uncheckedState w14:val="2610" w14:font="MS Gothic"/>
            </w14:checkbox>
          </w:sdtPr>
          <w:sdtEndPr/>
          <w:sdtContent>
            <w:tc>
              <w:tcPr>
                <w:tcW w:w="540" w:type="dxa"/>
                <w:shd w:val="clear" w:color="auto" w:fill="FFFFFF" w:themeFill="background1"/>
                <w:vAlign w:val="center"/>
              </w:tcPr>
              <w:p w14:paraId="7E36AB98" w14:textId="5F8CF2BB" w:rsidR="008136BB" w:rsidRPr="00A23B3F" w:rsidRDefault="000B708C" w:rsidP="004D3659">
                <w:pPr>
                  <w:widowControl/>
                  <w:tabs>
                    <w:tab w:val="left" w:pos="3150"/>
                  </w:tabs>
                  <w:autoSpaceDE/>
                  <w:autoSpaceDN/>
                  <w:adjustRightInd/>
                  <w:spacing w:after="120"/>
                  <w:jc w:val="center"/>
                  <w:rPr>
                    <w:rFonts w:eastAsia="Calibri"/>
                    <w:sz w:val="20"/>
                    <w:szCs w:val="20"/>
                  </w:rPr>
                </w:pPr>
                <w:r w:rsidRPr="00A23B3F">
                  <w:rPr>
                    <w:rFonts w:ascii="Segoe UI Symbol" w:eastAsia="MS Gothic" w:hAnsi="Segoe UI Symbol" w:cs="Segoe UI Symbol"/>
                    <w:sz w:val="20"/>
                    <w:szCs w:val="20"/>
                  </w:rPr>
                  <w:t>☐</w:t>
                </w:r>
              </w:p>
            </w:tc>
          </w:sdtContent>
        </w:sdt>
        <w:tc>
          <w:tcPr>
            <w:tcW w:w="1350" w:type="dxa"/>
            <w:shd w:val="clear" w:color="auto" w:fill="FFFFFF" w:themeFill="background1"/>
            <w:vAlign w:val="center"/>
          </w:tcPr>
          <w:p w14:paraId="1261E287" w14:textId="0282248D" w:rsidR="008136BB" w:rsidRPr="00E436C5" w:rsidRDefault="00527E62" w:rsidP="00527E62">
            <w:pPr>
              <w:widowControl/>
              <w:tabs>
                <w:tab w:val="left" w:pos="3150"/>
              </w:tabs>
              <w:autoSpaceDE/>
              <w:autoSpaceDN/>
              <w:adjustRightInd/>
              <w:spacing w:after="120"/>
              <w:jc w:val="center"/>
              <w:rPr>
                <w:rFonts w:eastAsia="Calibri"/>
                <w:sz w:val="18"/>
              </w:rPr>
            </w:pPr>
            <w:r w:rsidRPr="00C617D4">
              <w:rPr>
                <w:rFonts w:eastAsia="Calibri"/>
                <w:sz w:val="18"/>
                <w:szCs w:val="18"/>
              </w:rPr>
              <w:t>Sep 2019</w:t>
            </w:r>
          </w:p>
        </w:tc>
      </w:tr>
      <w:tr w:rsidR="004F55E8" w:rsidRPr="007A4B19" w14:paraId="10E583AC" w14:textId="77777777" w:rsidTr="00A718A8">
        <w:trPr>
          <w:cantSplit/>
          <w:trHeight w:val="575"/>
          <w:jc w:val="center"/>
        </w:trPr>
        <w:tc>
          <w:tcPr>
            <w:tcW w:w="2875" w:type="dxa"/>
            <w:vMerge w:val="restart"/>
            <w:shd w:val="clear" w:color="auto" w:fill="DBE5F1" w:themeFill="accent1" w:themeFillTint="33"/>
            <w:vAlign w:val="center"/>
          </w:tcPr>
          <w:p w14:paraId="2C19913A" w14:textId="5C5C5E68" w:rsidR="008136BB" w:rsidRPr="00E436C5" w:rsidRDefault="008136BB" w:rsidP="00B415BC">
            <w:pPr>
              <w:widowControl/>
              <w:tabs>
                <w:tab w:val="left" w:pos="3150"/>
              </w:tabs>
              <w:autoSpaceDE/>
              <w:autoSpaceDN/>
              <w:adjustRightInd/>
              <w:spacing w:after="120"/>
              <w:jc w:val="left"/>
              <w:rPr>
                <w:rFonts w:eastAsia="Calibri"/>
                <w:sz w:val="18"/>
              </w:rPr>
            </w:pPr>
            <w:r w:rsidRPr="00E436C5">
              <w:rPr>
                <w:rFonts w:eastAsia="Calibri"/>
                <w:sz w:val="18"/>
              </w:rPr>
              <w:t xml:space="preserve">Issue Service Orders (SOs) with EIS </w:t>
            </w:r>
            <w:r w:rsidR="00B415BC" w:rsidRPr="00E436C5">
              <w:rPr>
                <w:rFonts w:eastAsia="Calibri"/>
                <w:sz w:val="18"/>
              </w:rPr>
              <w:t>c</w:t>
            </w:r>
            <w:r w:rsidRPr="00E436C5">
              <w:rPr>
                <w:rFonts w:eastAsia="Calibri"/>
                <w:sz w:val="18"/>
              </w:rPr>
              <w:t>ontractor</w:t>
            </w:r>
          </w:p>
        </w:tc>
        <w:tc>
          <w:tcPr>
            <w:tcW w:w="5760" w:type="dxa"/>
            <w:shd w:val="clear" w:color="auto" w:fill="DBE5F1" w:themeFill="accent1" w:themeFillTint="33"/>
            <w:vAlign w:val="center"/>
          </w:tcPr>
          <w:p w14:paraId="6BE53B0E" w14:textId="77777777" w:rsidR="008136BB" w:rsidRPr="00E436C5" w:rsidRDefault="008136BB" w:rsidP="000567A5">
            <w:pPr>
              <w:pStyle w:val="ListParagraph"/>
              <w:widowControl/>
              <w:numPr>
                <w:ilvl w:val="0"/>
                <w:numId w:val="47"/>
              </w:numPr>
              <w:autoSpaceDE/>
              <w:autoSpaceDN/>
              <w:adjustRightInd/>
              <w:jc w:val="left"/>
              <w:rPr>
                <w:color w:val="000000"/>
                <w:sz w:val="18"/>
              </w:rPr>
            </w:pPr>
            <w:r w:rsidRPr="00E436C5">
              <w:rPr>
                <w:color w:val="000000"/>
                <w:sz w:val="18"/>
              </w:rPr>
              <w:t>Determine need for parallel operations of current service and replacement service</w:t>
            </w:r>
          </w:p>
        </w:tc>
        <w:sdt>
          <w:sdtPr>
            <w:rPr>
              <w:rFonts w:ascii="Segoe UI Symbol" w:eastAsia="MS Gothic" w:hAnsi="Segoe UI Symbol" w:cs="Segoe UI Symbol"/>
              <w:sz w:val="20"/>
              <w:szCs w:val="20"/>
            </w:rPr>
            <w:id w:val="-249048167"/>
            <w14:checkbox>
              <w14:checked w14:val="0"/>
              <w14:checkedState w14:val="00FE" w14:font="Wingdings"/>
              <w14:uncheckedState w14:val="2610" w14:font="MS Gothic"/>
            </w14:checkbox>
          </w:sdtPr>
          <w:sdtEndPr/>
          <w:sdtContent>
            <w:tc>
              <w:tcPr>
                <w:tcW w:w="540" w:type="dxa"/>
                <w:vMerge w:val="restart"/>
                <w:shd w:val="clear" w:color="auto" w:fill="DBE5F1" w:themeFill="accent1" w:themeFillTint="33"/>
                <w:vAlign w:val="center"/>
              </w:tcPr>
              <w:p w14:paraId="541771E2" w14:textId="7EC80EC9" w:rsidR="008136BB" w:rsidRPr="00A23B3F" w:rsidRDefault="000B708C" w:rsidP="004D3659">
                <w:pPr>
                  <w:widowControl/>
                  <w:tabs>
                    <w:tab w:val="left" w:pos="3150"/>
                  </w:tabs>
                  <w:autoSpaceDE/>
                  <w:autoSpaceDN/>
                  <w:adjustRightInd/>
                  <w:spacing w:after="120"/>
                  <w:jc w:val="center"/>
                  <w:rPr>
                    <w:rFonts w:eastAsia="Calibri"/>
                    <w:sz w:val="20"/>
                    <w:szCs w:val="20"/>
                  </w:rPr>
                </w:pPr>
                <w:r w:rsidRPr="00A23B3F">
                  <w:rPr>
                    <w:rFonts w:ascii="Segoe UI Symbol" w:eastAsia="MS Gothic" w:hAnsi="Segoe UI Symbol" w:cs="Segoe UI Symbol"/>
                    <w:sz w:val="20"/>
                    <w:szCs w:val="20"/>
                  </w:rPr>
                  <w:t>☐</w:t>
                </w:r>
              </w:p>
            </w:tc>
          </w:sdtContent>
        </w:sdt>
        <w:tc>
          <w:tcPr>
            <w:tcW w:w="1350" w:type="dxa"/>
            <w:vMerge w:val="restart"/>
            <w:shd w:val="clear" w:color="auto" w:fill="DBE5F1" w:themeFill="accent1" w:themeFillTint="33"/>
            <w:vAlign w:val="center"/>
          </w:tcPr>
          <w:p w14:paraId="2278D73A" w14:textId="77777777" w:rsidR="008136BB" w:rsidRPr="00E436C5" w:rsidRDefault="008136BB" w:rsidP="004D3659">
            <w:pPr>
              <w:widowControl/>
              <w:tabs>
                <w:tab w:val="left" w:pos="3150"/>
              </w:tabs>
              <w:autoSpaceDE/>
              <w:autoSpaceDN/>
              <w:adjustRightInd/>
              <w:spacing w:after="120"/>
              <w:jc w:val="center"/>
              <w:rPr>
                <w:rFonts w:eastAsia="Calibri"/>
                <w:sz w:val="18"/>
              </w:rPr>
            </w:pPr>
            <w:r w:rsidRPr="00E436C5">
              <w:rPr>
                <w:rFonts w:eastAsia="Calibri"/>
                <w:sz w:val="18"/>
              </w:rPr>
              <w:t>ASAP after Task Order award</w:t>
            </w:r>
          </w:p>
        </w:tc>
      </w:tr>
      <w:tr w:rsidR="004F55E8" w:rsidRPr="007A4B19" w14:paraId="569E3978" w14:textId="77777777" w:rsidTr="00A718A8">
        <w:trPr>
          <w:cantSplit/>
          <w:trHeight w:val="557"/>
          <w:jc w:val="center"/>
        </w:trPr>
        <w:tc>
          <w:tcPr>
            <w:tcW w:w="2875" w:type="dxa"/>
            <w:vMerge/>
            <w:shd w:val="clear" w:color="auto" w:fill="DBE5F1" w:themeFill="accent1" w:themeFillTint="33"/>
          </w:tcPr>
          <w:p w14:paraId="4FF9086B" w14:textId="77777777" w:rsidR="008136BB" w:rsidRPr="00C617D4" w:rsidRDefault="008136BB" w:rsidP="004D3659">
            <w:pPr>
              <w:widowControl/>
              <w:tabs>
                <w:tab w:val="left" w:pos="3150"/>
              </w:tabs>
              <w:autoSpaceDE/>
              <w:autoSpaceDN/>
              <w:adjustRightInd/>
              <w:spacing w:after="120"/>
              <w:rPr>
                <w:rFonts w:eastAsia="Calibri"/>
                <w:b/>
                <w:sz w:val="18"/>
                <w:szCs w:val="18"/>
              </w:rPr>
            </w:pPr>
          </w:p>
        </w:tc>
        <w:tc>
          <w:tcPr>
            <w:tcW w:w="5760" w:type="dxa"/>
            <w:shd w:val="clear" w:color="auto" w:fill="DBE5F1" w:themeFill="accent1" w:themeFillTint="33"/>
            <w:vAlign w:val="center"/>
          </w:tcPr>
          <w:p w14:paraId="1FC4CDC9" w14:textId="77777777" w:rsidR="008136BB" w:rsidRPr="00C510B5" w:rsidRDefault="008136BB" w:rsidP="000567A5">
            <w:pPr>
              <w:pStyle w:val="ListParagraph"/>
              <w:widowControl/>
              <w:numPr>
                <w:ilvl w:val="0"/>
                <w:numId w:val="47"/>
              </w:numPr>
              <w:autoSpaceDE/>
              <w:autoSpaceDN/>
              <w:adjustRightInd/>
              <w:jc w:val="left"/>
              <w:rPr>
                <w:color w:val="000000"/>
                <w:sz w:val="18"/>
                <w:szCs w:val="20"/>
              </w:rPr>
            </w:pPr>
            <w:r w:rsidRPr="00C510B5">
              <w:rPr>
                <w:color w:val="000000"/>
                <w:sz w:val="18"/>
                <w:szCs w:val="20"/>
              </w:rPr>
              <w:t>Coordinate with Local Government Contacts for site preparation and access</w:t>
            </w:r>
          </w:p>
        </w:tc>
        <w:tc>
          <w:tcPr>
            <w:tcW w:w="540" w:type="dxa"/>
            <w:vMerge/>
            <w:shd w:val="clear" w:color="auto" w:fill="DBE5F1" w:themeFill="accent1" w:themeFillTint="33"/>
          </w:tcPr>
          <w:p w14:paraId="5C17547C" w14:textId="77777777" w:rsidR="008136BB" w:rsidRPr="00C510B5" w:rsidRDefault="008136BB" w:rsidP="004D3659">
            <w:pPr>
              <w:widowControl/>
              <w:tabs>
                <w:tab w:val="left" w:pos="3150"/>
              </w:tabs>
              <w:autoSpaceDE/>
              <w:autoSpaceDN/>
              <w:adjustRightInd/>
              <w:spacing w:after="120"/>
              <w:rPr>
                <w:rFonts w:eastAsia="Calibri"/>
                <w:b/>
                <w:sz w:val="18"/>
                <w:szCs w:val="20"/>
              </w:rPr>
            </w:pPr>
          </w:p>
        </w:tc>
        <w:tc>
          <w:tcPr>
            <w:tcW w:w="1350" w:type="dxa"/>
            <w:vMerge/>
            <w:shd w:val="clear" w:color="auto" w:fill="DBE5F1" w:themeFill="accent1" w:themeFillTint="33"/>
            <w:vAlign w:val="center"/>
          </w:tcPr>
          <w:p w14:paraId="0611094B" w14:textId="77777777" w:rsidR="008136BB" w:rsidRPr="00C617D4" w:rsidRDefault="008136BB" w:rsidP="004D3659">
            <w:pPr>
              <w:widowControl/>
              <w:tabs>
                <w:tab w:val="left" w:pos="3150"/>
              </w:tabs>
              <w:autoSpaceDE/>
              <w:autoSpaceDN/>
              <w:adjustRightInd/>
              <w:spacing w:after="120"/>
              <w:rPr>
                <w:rFonts w:eastAsia="Calibri"/>
                <w:b/>
                <w:sz w:val="18"/>
                <w:szCs w:val="18"/>
              </w:rPr>
            </w:pPr>
          </w:p>
        </w:tc>
      </w:tr>
      <w:tr w:rsidR="004F55E8" w:rsidRPr="007A4B19" w14:paraId="5DFE9E98" w14:textId="77777777" w:rsidTr="00A718A8">
        <w:trPr>
          <w:cantSplit/>
          <w:trHeight w:val="818"/>
          <w:jc w:val="center"/>
        </w:trPr>
        <w:tc>
          <w:tcPr>
            <w:tcW w:w="2875" w:type="dxa"/>
            <w:vMerge/>
            <w:shd w:val="clear" w:color="auto" w:fill="DBE5F1" w:themeFill="accent1" w:themeFillTint="33"/>
          </w:tcPr>
          <w:p w14:paraId="0F0F856A" w14:textId="77777777" w:rsidR="008136BB" w:rsidRPr="00C617D4" w:rsidRDefault="008136BB" w:rsidP="004D3659">
            <w:pPr>
              <w:widowControl/>
              <w:tabs>
                <w:tab w:val="left" w:pos="3150"/>
              </w:tabs>
              <w:autoSpaceDE/>
              <w:autoSpaceDN/>
              <w:adjustRightInd/>
              <w:spacing w:after="120"/>
              <w:rPr>
                <w:rFonts w:eastAsia="Calibri"/>
                <w:b/>
                <w:sz w:val="18"/>
                <w:szCs w:val="18"/>
              </w:rPr>
            </w:pPr>
          </w:p>
        </w:tc>
        <w:tc>
          <w:tcPr>
            <w:tcW w:w="5760" w:type="dxa"/>
            <w:shd w:val="clear" w:color="auto" w:fill="DBE5F1" w:themeFill="accent1" w:themeFillTint="33"/>
            <w:vAlign w:val="center"/>
          </w:tcPr>
          <w:p w14:paraId="617DFEA9" w14:textId="77777777" w:rsidR="008136BB" w:rsidRPr="00C510B5" w:rsidRDefault="008136BB" w:rsidP="000567A5">
            <w:pPr>
              <w:pStyle w:val="ListParagraph"/>
              <w:widowControl/>
              <w:numPr>
                <w:ilvl w:val="0"/>
                <w:numId w:val="47"/>
              </w:numPr>
              <w:autoSpaceDE/>
              <w:autoSpaceDN/>
              <w:adjustRightInd/>
              <w:jc w:val="left"/>
              <w:rPr>
                <w:color w:val="000000"/>
                <w:sz w:val="18"/>
                <w:szCs w:val="20"/>
              </w:rPr>
            </w:pPr>
            <w:r w:rsidRPr="00C510B5">
              <w:rPr>
                <w:color w:val="000000"/>
                <w:sz w:val="18"/>
                <w:szCs w:val="20"/>
              </w:rPr>
              <w:t>Identify service-order specific info such as Local Government Contacts, installation or activation dates, coordination with other vendors</w:t>
            </w:r>
          </w:p>
        </w:tc>
        <w:tc>
          <w:tcPr>
            <w:tcW w:w="540" w:type="dxa"/>
            <w:vMerge/>
            <w:shd w:val="clear" w:color="auto" w:fill="DBE5F1" w:themeFill="accent1" w:themeFillTint="33"/>
          </w:tcPr>
          <w:p w14:paraId="399F7A5A" w14:textId="77777777" w:rsidR="008136BB" w:rsidRPr="00C510B5" w:rsidRDefault="008136BB" w:rsidP="004D3659">
            <w:pPr>
              <w:widowControl/>
              <w:tabs>
                <w:tab w:val="left" w:pos="3150"/>
              </w:tabs>
              <w:autoSpaceDE/>
              <w:autoSpaceDN/>
              <w:adjustRightInd/>
              <w:spacing w:after="120"/>
              <w:rPr>
                <w:rFonts w:eastAsia="Calibri"/>
                <w:b/>
                <w:sz w:val="18"/>
                <w:szCs w:val="20"/>
              </w:rPr>
            </w:pPr>
          </w:p>
        </w:tc>
        <w:tc>
          <w:tcPr>
            <w:tcW w:w="1350" w:type="dxa"/>
            <w:vMerge/>
            <w:shd w:val="clear" w:color="auto" w:fill="DBE5F1" w:themeFill="accent1" w:themeFillTint="33"/>
            <w:vAlign w:val="center"/>
          </w:tcPr>
          <w:p w14:paraId="3625AA2F" w14:textId="77777777" w:rsidR="008136BB" w:rsidRPr="00C617D4" w:rsidRDefault="008136BB" w:rsidP="004D3659">
            <w:pPr>
              <w:widowControl/>
              <w:tabs>
                <w:tab w:val="left" w:pos="3150"/>
              </w:tabs>
              <w:autoSpaceDE/>
              <w:autoSpaceDN/>
              <w:adjustRightInd/>
              <w:spacing w:after="120"/>
              <w:rPr>
                <w:rFonts w:eastAsia="Calibri"/>
                <w:b/>
                <w:sz w:val="18"/>
                <w:szCs w:val="18"/>
              </w:rPr>
            </w:pPr>
          </w:p>
        </w:tc>
      </w:tr>
      <w:tr w:rsidR="004F55E8" w:rsidRPr="007A4B19" w14:paraId="5D6830E4" w14:textId="77777777" w:rsidTr="00A718A8">
        <w:trPr>
          <w:cantSplit/>
          <w:trHeight w:val="287"/>
          <w:jc w:val="center"/>
        </w:trPr>
        <w:tc>
          <w:tcPr>
            <w:tcW w:w="2875" w:type="dxa"/>
            <w:vMerge/>
            <w:shd w:val="clear" w:color="auto" w:fill="DBE5F1" w:themeFill="accent1" w:themeFillTint="33"/>
          </w:tcPr>
          <w:p w14:paraId="0C171F0A" w14:textId="77777777" w:rsidR="008136BB" w:rsidRPr="00C617D4" w:rsidRDefault="008136BB" w:rsidP="004D3659">
            <w:pPr>
              <w:widowControl/>
              <w:tabs>
                <w:tab w:val="left" w:pos="3150"/>
              </w:tabs>
              <w:autoSpaceDE/>
              <w:autoSpaceDN/>
              <w:adjustRightInd/>
              <w:spacing w:after="120"/>
              <w:rPr>
                <w:rFonts w:eastAsia="Calibri"/>
                <w:b/>
                <w:sz w:val="18"/>
                <w:szCs w:val="18"/>
              </w:rPr>
            </w:pPr>
          </w:p>
        </w:tc>
        <w:tc>
          <w:tcPr>
            <w:tcW w:w="5760" w:type="dxa"/>
            <w:shd w:val="clear" w:color="auto" w:fill="DBE5F1" w:themeFill="accent1" w:themeFillTint="33"/>
            <w:vAlign w:val="center"/>
          </w:tcPr>
          <w:p w14:paraId="6E0E72BC" w14:textId="77777777" w:rsidR="008136BB" w:rsidRPr="00C510B5" w:rsidRDefault="008136BB" w:rsidP="000567A5">
            <w:pPr>
              <w:pStyle w:val="ListParagraph"/>
              <w:widowControl/>
              <w:numPr>
                <w:ilvl w:val="0"/>
                <w:numId w:val="47"/>
              </w:numPr>
              <w:autoSpaceDE/>
              <w:autoSpaceDN/>
              <w:adjustRightInd/>
              <w:jc w:val="left"/>
              <w:rPr>
                <w:color w:val="000000"/>
                <w:sz w:val="18"/>
                <w:szCs w:val="20"/>
              </w:rPr>
            </w:pPr>
            <w:r w:rsidRPr="00C510B5">
              <w:rPr>
                <w:color w:val="000000"/>
                <w:sz w:val="18"/>
                <w:szCs w:val="20"/>
              </w:rPr>
              <w:t>Identify all the CLINs</w:t>
            </w:r>
          </w:p>
        </w:tc>
        <w:tc>
          <w:tcPr>
            <w:tcW w:w="540" w:type="dxa"/>
            <w:vMerge/>
            <w:shd w:val="clear" w:color="auto" w:fill="DBE5F1" w:themeFill="accent1" w:themeFillTint="33"/>
          </w:tcPr>
          <w:p w14:paraId="3B5487AA" w14:textId="77777777" w:rsidR="008136BB" w:rsidRPr="00C510B5" w:rsidRDefault="008136BB" w:rsidP="004D3659">
            <w:pPr>
              <w:widowControl/>
              <w:tabs>
                <w:tab w:val="left" w:pos="3150"/>
              </w:tabs>
              <w:autoSpaceDE/>
              <w:autoSpaceDN/>
              <w:adjustRightInd/>
              <w:spacing w:after="120"/>
              <w:rPr>
                <w:rFonts w:eastAsia="Calibri"/>
                <w:b/>
                <w:sz w:val="18"/>
                <w:szCs w:val="20"/>
              </w:rPr>
            </w:pPr>
          </w:p>
        </w:tc>
        <w:tc>
          <w:tcPr>
            <w:tcW w:w="1350" w:type="dxa"/>
            <w:vMerge/>
            <w:shd w:val="clear" w:color="auto" w:fill="DBE5F1" w:themeFill="accent1" w:themeFillTint="33"/>
            <w:vAlign w:val="center"/>
          </w:tcPr>
          <w:p w14:paraId="34E557DB" w14:textId="77777777" w:rsidR="008136BB" w:rsidRPr="00C617D4" w:rsidRDefault="008136BB" w:rsidP="004D3659">
            <w:pPr>
              <w:widowControl/>
              <w:tabs>
                <w:tab w:val="left" w:pos="3150"/>
              </w:tabs>
              <w:autoSpaceDE/>
              <w:autoSpaceDN/>
              <w:adjustRightInd/>
              <w:spacing w:after="120"/>
              <w:rPr>
                <w:rFonts w:eastAsia="Calibri"/>
                <w:b/>
                <w:sz w:val="18"/>
                <w:szCs w:val="18"/>
              </w:rPr>
            </w:pPr>
          </w:p>
        </w:tc>
      </w:tr>
      <w:tr w:rsidR="004F55E8" w:rsidRPr="007A4B19" w14:paraId="01004367" w14:textId="77777777" w:rsidTr="00A718A8">
        <w:trPr>
          <w:cantSplit/>
          <w:trHeight w:val="773"/>
          <w:jc w:val="center"/>
        </w:trPr>
        <w:tc>
          <w:tcPr>
            <w:tcW w:w="2875" w:type="dxa"/>
            <w:vMerge/>
            <w:shd w:val="clear" w:color="auto" w:fill="DBE5F1" w:themeFill="accent1" w:themeFillTint="33"/>
          </w:tcPr>
          <w:p w14:paraId="01288DD9" w14:textId="77777777" w:rsidR="008136BB" w:rsidRPr="00C617D4" w:rsidRDefault="008136BB" w:rsidP="004D3659">
            <w:pPr>
              <w:widowControl/>
              <w:tabs>
                <w:tab w:val="left" w:pos="3150"/>
              </w:tabs>
              <w:autoSpaceDE/>
              <w:autoSpaceDN/>
              <w:adjustRightInd/>
              <w:spacing w:after="120"/>
              <w:rPr>
                <w:rFonts w:eastAsia="Calibri"/>
                <w:b/>
                <w:sz w:val="18"/>
                <w:szCs w:val="18"/>
              </w:rPr>
            </w:pPr>
          </w:p>
        </w:tc>
        <w:tc>
          <w:tcPr>
            <w:tcW w:w="5760" w:type="dxa"/>
            <w:shd w:val="clear" w:color="auto" w:fill="DBE5F1" w:themeFill="accent1" w:themeFillTint="33"/>
            <w:vAlign w:val="center"/>
          </w:tcPr>
          <w:p w14:paraId="0BD66A58" w14:textId="77777777" w:rsidR="008136BB" w:rsidRPr="00C510B5" w:rsidRDefault="008136BB" w:rsidP="000567A5">
            <w:pPr>
              <w:pStyle w:val="ListParagraph"/>
              <w:widowControl/>
              <w:numPr>
                <w:ilvl w:val="0"/>
                <w:numId w:val="47"/>
              </w:numPr>
              <w:autoSpaceDE/>
              <w:autoSpaceDN/>
              <w:adjustRightInd/>
              <w:jc w:val="left"/>
              <w:rPr>
                <w:color w:val="000000"/>
                <w:sz w:val="18"/>
                <w:szCs w:val="20"/>
              </w:rPr>
            </w:pPr>
            <w:r w:rsidRPr="00C510B5">
              <w:rPr>
                <w:color w:val="000000"/>
                <w:sz w:val="18"/>
                <w:szCs w:val="20"/>
              </w:rPr>
              <w:t>Agency notifies the contractor the format (MS Word, Excel, etc.) in which it wants to receive order acknowledgments and notices</w:t>
            </w:r>
          </w:p>
        </w:tc>
        <w:tc>
          <w:tcPr>
            <w:tcW w:w="540" w:type="dxa"/>
            <w:vMerge/>
            <w:shd w:val="clear" w:color="auto" w:fill="DBE5F1" w:themeFill="accent1" w:themeFillTint="33"/>
          </w:tcPr>
          <w:p w14:paraId="3BBA6166" w14:textId="77777777" w:rsidR="008136BB" w:rsidRPr="00C510B5" w:rsidRDefault="008136BB" w:rsidP="004D3659">
            <w:pPr>
              <w:widowControl/>
              <w:tabs>
                <w:tab w:val="left" w:pos="3150"/>
              </w:tabs>
              <w:autoSpaceDE/>
              <w:autoSpaceDN/>
              <w:adjustRightInd/>
              <w:spacing w:after="120"/>
              <w:rPr>
                <w:rFonts w:eastAsia="Calibri"/>
                <w:b/>
                <w:sz w:val="18"/>
                <w:szCs w:val="20"/>
              </w:rPr>
            </w:pPr>
          </w:p>
        </w:tc>
        <w:tc>
          <w:tcPr>
            <w:tcW w:w="1350" w:type="dxa"/>
            <w:vMerge/>
            <w:shd w:val="clear" w:color="auto" w:fill="DBE5F1" w:themeFill="accent1" w:themeFillTint="33"/>
            <w:vAlign w:val="center"/>
          </w:tcPr>
          <w:p w14:paraId="78376A91" w14:textId="77777777" w:rsidR="008136BB" w:rsidRPr="00C617D4" w:rsidRDefault="008136BB" w:rsidP="004D3659">
            <w:pPr>
              <w:widowControl/>
              <w:tabs>
                <w:tab w:val="left" w:pos="3150"/>
              </w:tabs>
              <w:autoSpaceDE/>
              <w:autoSpaceDN/>
              <w:adjustRightInd/>
              <w:spacing w:after="120"/>
              <w:rPr>
                <w:rFonts w:eastAsia="Calibri"/>
                <w:b/>
                <w:sz w:val="18"/>
                <w:szCs w:val="18"/>
              </w:rPr>
            </w:pPr>
          </w:p>
        </w:tc>
      </w:tr>
      <w:tr w:rsidR="004F55E8" w:rsidRPr="007A4B19" w14:paraId="3CFFFEDD" w14:textId="77777777" w:rsidTr="00A718A8">
        <w:trPr>
          <w:cantSplit/>
          <w:trHeight w:val="332"/>
          <w:jc w:val="center"/>
        </w:trPr>
        <w:tc>
          <w:tcPr>
            <w:tcW w:w="2875" w:type="dxa"/>
            <w:vMerge/>
            <w:shd w:val="clear" w:color="auto" w:fill="DBE5F1" w:themeFill="accent1" w:themeFillTint="33"/>
          </w:tcPr>
          <w:p w14:paraId="02266A50" w14:textId="77777777" w:rsidR="008136BB" w:rsidRPr="00C617D4" w:rsidRDefault="008136BB" w:rsidP="004D3659">
            <w:pPr>
              <w:widowControl/>
              <w:tabs>
                <w:tab w:val="left" w:pos="3150"/>
              </w:tabs>
              <w:autoSpaceDE/>
              <w:autoSpaceDN/>
              <w:adjustRightInd/>
              <w:spacing w:after="120"/>
              <w:rPr>
                <w:rFonts w:eastAsia="Calibri"/>
                <w:b/>
                <w:sz w:val="18"/>
                <w:szCs w:val="18"/>
              </w:rPr>
            </w:pPr>
          </w:p>
        </w:tc>
        <w:tc>
          <w:tcPr>
            <w:tcW w:w="5760" w:type="dxa"/>
            <w:shd w:val="clear" w:color="auto" w:fill="DBE5F1" w:themeFill="accent1" w:themeFillTint="33"/>
            <w:vAlign w:val="center"/>
          </w:tcPr>
          <w:p w14:paraId="16C932C4" w14:textId="77777777" w:rsidR="008136BB" w:rsidRPr="00C510B5" w:rsidRDefault="008136BB" w:rsidP="000567A5">
            <w:pPr>
              <w:pStyle w:val="ListParagraph"/>
              <w:widowControl/>
              <w:numPr>
                <w:ilvl w:val="0"/>
                <w:numId w:val="47"/>
              </w:numPr>
              <w:autoSpaceDE/>
              <w:autoSpaceDN/>
              <w:adjustRightInd/>
              <w:jc w:val="left"/>
              <w:rPr>
                <w:color w:val="000000"/>
                <w:sz w:val="18"/>
                <w:szCs w:val="20"/>
              </w:rPr>
            </w:pPr>
            <w:r w:rsidRPr="00C510B5">
              <w:rPr>
                <w:color w:val="000000"/>
                <w:sz w:val="18"/>
                <w:szCs w:val="20"/>
              </w:rPr>
              <w:t>Identify test and acceptance criteria for SOs</w:t>
            </w:r>
          </w:p>
        </w:tc>
        <w:tc>
          <w:tcPr>
            <w:tcW w:w="540" w:type="dxa"/>
            <w:vMerge/>
            <w:shd w:val="clear" w:color="auto" w:fill="DBE5F1" w:themeFill="accent1" w:themeFillTint="33"/>
          </w:tcPr>
          <w:p w14:paraId="3FAD54EB" w14:textId="77777777" w:rsidR="008136BB" w:rsidRPr="00C510B5" w:rsidRDefault="008136BB" w:rsidP="004D3659">
            <w:pPr>
              <w:widowControl/>
              <w:tabs>
                <w:tab w:val="left" w:pos="3150"/>
              </w:tabs>
              <w:autoSpaceDE/>
              <w:autoSpaceDN/>
              <w:adjustRightInd/>
              <w:spacing w:after="120"/>
              <w:rPr>
                <w:rFonts w:eastAsia="Calibri"/>
                <w:b/>
                <w:sz w:val="18"/>
                <w:szCs w:val="20"/>
              </w:rPr>
            </w:pPr>
          </w:p>
        </w:tc>
        <w:tc>
          <w:tcPr>
            <w:tcW w:w="1350" w:type="dxa"/>
            <w:vMerge/>
            <w:shd w:val="clear" w:color="auto" w:fill="DBE5F1" w:themeFill="accent1" w:themeFillTint="33"/>
            <w:vAlign w:val="center"/>
          </w:tcPr>
          <w:p w14:paraId="779F800A" w14:textId="77777777" w:rsidR="008136BB" w:rsidRPr="00C617D4" w:rsidRDefault="008136BB" w:rsidP="004D3659">
            <w:pPr>
              <w:widowControl/>
              <w:tabs>
                <w:tab w:val="left" w:pos="3150"/>
              </w:tabs>
              <w:autoSpaceDE/>
              <w:autoSpaceDN/>
              <w:adjustRightInd/>
              <w:spacing w:after="120"/>
              <w:rPr>
                <w:rFonts w:eastAsia="Calibri"/>
                <w:b/>
                <w:sz w:val="18"/>
                <w:szCs w:val="18"/>
              </w:rPr>
            </w:pPr>
          </w:p>
        </w:tc>
      </w:tr>
      <w:tr w:rsidR="004F55E8" w:rsidRPr="007A4B19" w14:paraId="6FC13F13" w14:textId="77777777" w:rsidTr="005374BB">
        <w:trPr>
          <w:cantSplit/>
          <w:trHeight w:val="908"/>
          <w:jc w:val="center"/>
        </w:trPr>
        <w:tc>
          <w:tcPr>
            <w:tcW w:w="2875" w:type="dxa"/>
            <w:shd w:val="clear" w:color="auto" w:fill="FFFFFF" w:themeFill="background1"/>
            <w:vAlign w:val="center"/>
          </w:tcPr>
          <w:p w14:paraId="43E1283F" w14:textId="77777777" w:rsidR="008136BB" w:rsidRPr="00E436C5" w:rsidRDefault="008603A9" w:rsidP="004D3659">
            <w:pPr>
              <w:widowControl/>
              <w:autoSpaceDE/>
              <w:autoSpaceDN/>
              <w:adjustRightInd/>
              <w:jc w:val="left"/>
              <w:rPr>
                <w:color w:val="000000"/>
                <w:sz w:val="18"/>
              </w:rPr>
            </w:pPr>
            <w:r w:rsidRPr="00E436C5">
              <w:rPr>
                <w:color w:val="000000"/>
                <w:sz w:val="18"/>
              </w:rPr>
              <w:t>Establish accounts within the contractor's systems</w:t>
            </w:r>
          </w:p>
        </w:tc>
        <w:tc>
          <w:tcPr>
            <w:tcW w:w="5760" w:type="dxa"/>
            <w:shd w:val="clear" w:color="auto" w:fill="FFFFFF" w:themeFill="background1"/>
            <w:vAlign w:val="center"/>
          </w:tcPr>
          <w:p w14:paraId="2FD1C910" w14:textId="77777777" w:rsidR="008136BB" w:rsidRPr="00A23B3F" w:rsidRDefault="008136BB" w:rsidP="004D3659">
            <w:pPr>
              <w:widowControl/>
              <w:tabs>
                <w:tab w:val="left" w:pos="3150"/>
              </w:tabs>
              <w:autoSpaceDE/>
              <w:autoSpaceDN/>
              <w:adjustRightInd/>
              <w:spacing w:after="120"/>
              <w:rPr>
                <w:rFonts w:eastAsia="Calibri"/>
                <w:b/>
                <w:sz w:val="20"/>
                <w:szCs w:val="20"/>
              </w:rPr>
            </w:pPr>
          </w:p>
        </w:tc>
        <w:sdt>
          <w:sdtPr>
            <w:rPr>
              <w:rFonts w:ascii="Segoe UI Symbol" w:eastAsia="MS Gothic" w:hAnsi="Segoe UI Symbol" w:cs="Segoe UI Symbol"/>
              <w:sz w:val="20"/>
              <w:szCs w:val="20"/>
            </w:rPr>
            <w:id w:val="953601252"/>
            <w14:checkbox>
              <w14:checked w14:val="0"/>
              <w14:checkedState w14:val="00FE" w14:font="Wingdings"/>
              <w14:uncheckedState w14:val="2610" w14:font="MS Gothic"/>
            </w14:checkbox>
          </w:sdtPr>
          <w:sdtEndPr/>
          <w:sdtContent>
            <w:tc>
              <w:tcPr>
                <w:tcW w:w="540" w:type="dxa"/>
                <w:shd w:val="clear" w:color="auto" w:fill="FFFFFF" w:themeFill="background1"/>
                <w:vAlign w:val="center"/>
              </w:tcPr>
              <w:p w14:paraId="1E1B2BED" w14:textId="351FBB07" w:rsidR="008136BB" w:rsidRPr="00A23B3F" w:rsidRDefault="000B708C" w:rsidP="004D3659">
                <w:pPr>
                  <w:widowControl/>
                  <w:tabs>
                    <w:tab w:val="left" w:pos="3150"/>
                  </w:tabs>
                  <w:autoSpaceDE/>
                  <w:autoSpaceDN/>
                  <w:adjustRightInd/>
                  <w:spacing w:after="120"/>
                  <w:jc w:val="center"/>
                  <w:rPr>
                    <w:rFonts w:eastAsia="Calibri"/>
                    <w:sz w:val="20"/>
                    <w:szCs w:val="20"/>
                  </w:rPr>
                </w:pPr>
                <w:r w:rsidRPr="00A23B3F">
                  <w:rPr>
                    <w:rFonts w:ascii="Segoe UI Symbol" w:eastAsia="MS Gothic" w:hAnsi="Segoe UI Symbol" w:cs="Segoe UI Symbol"/>
                    <w:sz w:val="20"/>
                    <w:szCs w:val="20"/>
                  </w:rPr>
                  <w:t>☐</w:t>
                </w:r>
              </w:p>
            </w:tc>
          </w:sdtContent>
        </w:sdt>
        <w:tc>
          <w:tcPr>
            <w:tcW w:w="1350" w:type="dxa"/>
            <w:shd w:val="clear" w:color="auto" w:fill="FFFFFF" w:themeFill="background1"/>
            <w:vAlign w:val="center"/>
          </w:tcPr>
          <w:p w14:paraId="1370F705" w14:textId="77777777" w:rsidR="008136BB" w:rsidRPr="00E436C5" w:rsidRDefault="008603A9" w:rsidP="004D3659">
            <w:pPr>
              <w:widowControl/>
              <w:tabs>
                <w:tab w:val="left" w:pos="3150"/>
              </w:tabs>
              <w:autoSpaceDE/>
              <w:autoSpaceDN/>
              <w:adjustRightInd/>
              <w:spacing w:after="120"/>
              <w:jc w:val="center"/>
              <w:rPr>
                <w:rFonts w:eastAsia="Calibri"/>
                <w:sz w:val="18"/>
              </w:rPr>
            </w:pPr>
            <w:r w:rsidRPr="00E436C5">
              <w:rPr>
                <w:rFonts w:eastAsia="Calibri"/>
                <w:sz w:val="18"/>
              </w:rPr>
              <w:t>ASAP after Task Order award</w:t>
            </w:r>
          </w:p>
        </w:tc>
      </w:tr>
      <w:tr w:rsidR="00AF56A7" w:rsidRPr="007A4B19" w14:paraId="13400FF7" w14:textId="77777777" w:rsidTr="005374BB">
        <w:trPr>
          <w:cantSplit/>
          <w:trHeight w:val="620"/>
          <w:jc w:val="center"/>
        </w:trPr>
        <w:tc>
          <w:tcPr>
            <w:tcW w:w="2875" w:type="dxa"/>
            <w:vMerge w:val="restart"/>
            <w:shd w:val="clear" w:color="auto" w:fill="DBE5F1" w:themeFill="accent1" w:themeFillTint="33"/>
            <w:vAlign w:val="center"/>
          </w:tcPr>
          <w:p w14:paraId="639DA7F2" w14:textId="55C0F0CA" w:rsidR="00AF56A7" w:rsidRPr="00E436C5" w:rsidRDefault="00AF56A7" w:rsidP="00B415BC">
            <w:pPr>
              <w:widowControl/>
              <w:tabs>
                <w:tab w:val="left" w:pos="3150"/>
              </w:tabs>
              <w:autoSpaceDE/>
              <w:autoSpaceDN/>
              <w:adjustRightInd/>
              <w:spacing w:after="120"/>
              <w:jc w:val="left"/>
              <w:rPr>
                <w:rFonts w:eastAsia="Calibri"/>
                <w:sz w:val="18"/>
              </w:rPr>
            </w:pPr>
            <w:r w:rsidRPr="00E436C5">
              <w:rPr>
                <w:rFonts w:eastAsia="Calibri"/>
                <w:sz w:val="18"/>
              </w:rPr>
              <w:t xml:space="preserve">Implement EIS service orders with EIS </w:t>
            </w:r>
            <w:r w:rsidR="00B415BC" w:rsidRPr="00C617D4">
              <w:rPr>
                <w:rFonts w:eastAsia="Calibri"/>
                <w:sz w:val="18"/>
                <w:szCs w:val="18"/>
              </w:rPr>
              <w:t>c</w:t>
            </w:r>
            <w:r w:rsidRPr="00C617D4">
              <w:rPr>
                <w:rFonts w:eastAsia="Calibri"/>
                <w:sz w:val="18"/>
                <w:szCs w:val="18"/>
              </w:rPr>
              <w:t>ontractor</w:t>
            </w:r>
          </w:p>
        </w:tc>
        <w:tc>
          <w:tcPr>
            <w:tcW w:w="5760" w:type="dxa"/>
            <w:shd w:val="clear" w:color="auto" w:fill="DBE5F1" w:themeFill="accent1" w:themeFillTint="33"/>
            <w:vAlign w:val="center"/>
          </w:tcPr>
          <w:p w14:paraId="3240EC6C" w14:textId="77777777" w:rsidR="00AF56A7" w:rsidRPr="00E436C5" w:rsidRDefault="00AF56A7" w:rsidP="000567A5">
            <w:pPr>
              <w:pStyle w:val="ListParagraph"/>
              <w:widowControl/>
              <w:numPr>
                <w:ilvl w:val="0"/>
                <w:numId w:val="44"/>
              </w:numPr>
              <w:autoSpaceDE/>
              <w:autoSpaceDN/>
              <w:adjustRightInd/>
              <w:jc w:val="left"/>
              <w:rPr>
                <w:color w:val="000000"/>
                <w:sz w:val="18"/>
              </w:rPr>
            </w:pPr>
            <w:r w:rsidRPr="00E436C5">
              <w:rPr>
                <w:color w:val="000000"/>
                <w:sz w:val="18"/>
              </w:rPr>
              <w:t>Receive Service Order Acknowledgement (SOA) within one business day of SO receipt</w:t>
            </w:r>
          </w:p>
        </w:tc>
        <w:sdt>
          <w:sdtPr>
            <w:rPr>
              <w:rFonts w:ascii="Segoe UI Symbol" w:eastAsia="MS Gothic" w:hAnsi="Segoe UI Symbol" w:cs="Segoe UI Symbol"/>
              <w:sz w:val="20"/>
              <w:szCs w:val="20"/>
            </w:rPr>
            <w:id w:val="-187767017"/>
            <w14:checkbox>
              <w14:checked w14:val="0"/>
              <w14:checkedState w14:val="00FE" w14:font="Wingdings"/>
              <w14:uncheckedState w14:val="2610" w14:font="MS Gothic"/>
            </w14:checkbox>
          </w:sdtPr>
          <w:sdtEndPr>
            <w:rPr>
              <w:rFonts w:cs="Arial"/>
              <w:szCs w:val="24"/>
            </w:rPr>
          </w:sdtEndPr>
          <w:sdtContent>
            <w:tc>
              <w:tcPr>
                <w:tcW w:w="540" w:type="dxa"/>
                <w:vMerge w:val="restart"/>
                <w:shd w:val="clear" w:color="auto" w:fill="DBE5F1" w:themeFill="accent1" w:themeFillTint="33"/>
                <w:vAlign w:val="center"/>
              </w:tcPr>
              <w:p w14:paraId="7FBAA839" w14:textId="28C85785" w:rsidR="00AF56A7" w:rsidRPr="00A23B3F" w:rsidRDefault="00AF56A7" w:rsidP="004D3659">
                <w:pPr>
                  <w:widowControl/>
                  <w:tabs>
                    <w:tab w:val="left" w:pos="3150"/>
                  </w:tabs>
                  <w:autoSpaceDE/>
                  <w:autoSpaceDN/>
                  <w:adjustRightInd/>
                  <w:spacing w:after="120"/>
                  <w:jc w:val="center"/>
                  <w:rPr>
                    <w:rFonts w:eastAsia="Calibri"/>
                    <w:sz w:val="20"/>
                    <w:szCs w:val="20"/>
                  </w:rPr>
                </w:pPr>
                <w:r w:rsidRPr="009B2DFB">
                  <w:rPr>
                    <w:rFonts w:ascii="MS Gothic" w:eastAsia="MS Gothic" w:hAnsi="MS Gothic" w:hint="eastAsia"/>
                    <w:sz w:val="20"/>
                  </w:rPr>
                  <w:t>☐</w:t>
                </w:r>
              </w:p>
            </w:tc>
          </w:sdtContent>
        </w:sdt>
        <w:tc>
          <w:tcPr>
            <w:tcW w:w="1350" w:type="dxa"/>
            <w:vMerge w:val="restart"/>
            <w:shd w:val="clear" w:color="auto" w:fill="DBE5F1" w:themeFill="accent1" w:themeFillTint="33"/>
            <w:vAlign w:val="center"/>
          </w:tcPr>
          <w:p w14:paraId="36D48D5E" w14:textId="77777777" w:rsidR="00AF56A7" w:rsidRPr="00E436C5" w:rsidRDefault="00AF56A7" w:rsidP="004D3659">
            <w:pPr>
              <w:widowControl/>
              <w:tabs>
                <w:tab w:val="left" w:pos="3150"/>
              </w:tabs>
              <w:autoSpaceDE/>
              <w:autoSpaceDN/>
              <w:adjustRightInd/>
              <w:spacing w:after="120"/>
              <w:jc w:val="center"/>
              <w:rPr>
                <w:rFonts w:eastAsia="Calibri"/>
                <w:sz w:val="18"/>
              </w:rPr>
            </w:pPr>
            <w:r w:rsidRPr="00E436C5">
              <w:rPr>
                <w:rFonts w:eastAsia="Calibri"/>
                <w:sz w:val="18"/>
              </w:rPr>
              <w:t>Within Provisioning SLAs</w:t>
            </w:r>
          </w:p>
        </w:tc>
      </w:tr>
      <w:tr w:rsidR="00AF56A7" w:rsidRPr="007A4B19" w14:paraId="716C2837" w14:textId="77777777" w:rsidTr="005374BB">
        <w:trPr>
          <w:cantSplit/>
          <w:trHeight w:val="800"/>
          <w:jc w:val="center"/>
        </w:trPr>
        <w:tc>
          <w:tcPr>
            <w:tcW w:w="2875" w:type="dxa"/>
            <w:vMerge/>
            <w:shd w:val="clear" w:color="auto" w:fill="DBE5F1" w:themeFill="accent1" w:themeFillTint="33"/>
          </w:tcPr>
          <w:p w14:paraId="1BB12EC8" w14:textId="77777777" w:rsidR="00AF56A7" w:rsidRPr="00C617D4" w:rsidRDefault="00AF56A7" w:rsidP="004D3659">
            <w:pPr>
              <w:widowControl/>
              <w:tabs>
                <w:tab w:val="left" w:pos="3150"/>
              </w:tabs>
              <w:autoSpaceDE/>
              <w:autoSpaceDN/>
              <w:adjustRightInd/>
              <w:spacing w:after="120"/>
              <w:rPr>
                <w:rFonts w:eastAsia="Calibri"/>
                <w:b/>
                <w:sz w:val="18"/>
                <w:szCs w:val="18"/>
              </w:rPr>
            </w:pPr>
          </w:p>
        </w:tc>
        <w:tc>
          <w:tcPr>
            <w:tcW w:w="5760" w:type="dxa"/>
            <w:shd w:val="clear" w:color="auto" w:fill="DBE5F1" w:themeFill="accent1" w:themeFillTint="33"/>
            <w:vAlign w:val="center"/>
          </w:tcPr>
          <w:p w14:paraId="775C5D09" w14:textId="7DDDD953" w:rsidR="00AF56A7" w:rsidRPr="00C510B5" w:rsidRDefault="00AF56A7" w:rsidP="000567A5">
            <w:pPr>
              <w:pStyle w:val="ListParagraph"/>
              <w:widowControl/>
              <w:numPr>
                <w:ilvl w:val="0"/>
                <w:numId w:val="44"/>
              </w:numPr>
              <w:autoSpaceDE/>
              <w:autoSpaceDN/>
              <w:adjustRightInd/>
              <w:jc w:val="left"/>
              <w:rPr>
                <w:color w:val="000000"/>
                <w:sz w:val="18"/>
                <w:szCs w:val="20"/>
              </w:rPr>
            </w:pPr>
            <w:r w:rsidRPr="00C510B5">
              <w:rPr>
                <w:color w:val="000000"/>
                <w:sz w:val="18"/>
                <w:szCs w:val="20"/>
              </w:rPr>
              <w:t>Receive Service Order Rejection Notice (SORN) or Service Order Confirmation (SOC) within five business days of SO receipt</w:t>
            </w:r>
          </w:p>
        </w:tc>
        <w:tc>
          <w:tcPr>
            <w:tcW w:w="540" w:type="dxa"/>
            <w:vMerge/>
            <w:shd w:val="clear" w:color="auto" w:fill="DBE5F1" w:themeFill="accent1" w:themeFillTint="33"/>
          </w:tcPr>
          <w:p w14:paraId="2D6A0CD2" w14:textId="77777777" w:rsidR="00AF56A7" w:rsidRPr="00C510B5" w:rsidRDefault="00AF56A7" w:rsidP="004D3659">
            <w:pPr>
              <w:widowControl/>
              <w:tabs>
                <w:tab w:val="left" w:pos="3150"/>
              </w:tabs>
              <w:autoSpaceDE/>
              <w:autoSpaceDN/>
              <w:adjustRightInd/>
              <w:spacing w:after="120"/>
              <w:rPr>
                <w:rFonts w:eastAsia="Calibri"/>
                <w:b/>
                <w:sz w:val="18"/>
                <w:szCs w:val="20"/>
              </w:rPr>
            </w:pPr>
          </w:p>
        </w:tc>
        <w:tc>
          <w:tcPr>
            <w:tcW w:w="1350" w:type="dxa"/>
            <w:vMerge/>
            <w:shd w:val="clear" w:color="auto" w:fill="DBE5F1" w:themeFill="accent1" w:themeFillTint="33"/>
            <w:vAlign w:val="center"/>
          </w:tcPr>
          <w:p w14:paraId="587A9327" w14:textId="77777777" w:rsidR="00AF56A7" w:rsidRPr="00C510B5" w:rsidRDefault="00AF56A7" w:rsidP="004D3659">
            <w:pPr>
              <w:widowControl/>
              <w:tabs>
                <w:tab w:val="left" w:pos="3150"/>
              </w:tabs>
              <w:autoSpaceDE/>
              <w:autoSpaceDN/>
              <w:adjustRightInd/>
              <w:spacing w:after="120"/>
              <w:rPr>
                <w:rFonts w:eastAsia="Calibri"/>
                <w:b/>
                <w:sz w:val="18"/>
                <w:szCs w:val="20"/>
              </w:rPr>
            </w:pPr>
          </w:p>
        </w:tc>
      </w:tr>
      <w:tr w:rsidR="00AF56A7" w:rsidRPr="007A4B19" w14:paraId="2E8BF211" w14:textId="77777777" w:rsidTr="005374BB">
        <w:trPr>
          <w:cantSplit/>
          <w:trHeight w:val="440"/>
          <w:jc w:val="center"/>
        </w:trPr>
        <w:tc>
          <w:tcPr>
            <w:tcW w:w="2875" w:type="dxa"/>
            <w:vMerge/>
            <w:shd w:val="clear" w:color="auto" w:fill="DBE5F1" w:themeFill="accent1" w:themeFillTint="33"/>
          </w:tcPr>
          <w:p w14:paraId="5D4FB925" w14:textId="77777777" w:rsidR="00AF56A7" w:rsidRPr="00C617D4" w:rsidRDefault="00AF56A7" w:rsidP="004D3659">
            <w:pPr>
              <w:widowControl/>
              <w:tabs>
                <w:tab w:val="left" w:pos="3150"/>
              </w:tabs>
              <w:autoSpaceDE/>
              <w:autoSpaceDN/>
              <w:adjustRightInd/>
              <w:spacing w:after="120"/>
              <w:rPr>
                <w:rFonts w:eastAsia="Calibri"/>
                <w:b/>
                <w:sz w:val="18"/>
                <w:szCs w:val="18"/>
              </w:rPr>
            </w:pPr>
          </w:p>
        </w:tc>
        <w:tc>
          <w:tcPr>
            <w:tcW w:w="5760" w:type="dxa"/>
            <w:shd w:val="clear" w:color="auto" w:fill="DBE5F1" w:themeFill="accent1" w:themeFillTint="33"/>
            <w:vAlign w:val="center"/>
          </w:tcPr>
          <w:p w14:paraId="567EA153" w14:textId="77777777" w:rsidR="00AF56A7" w:rsidRPr="00C510B5" w:rsidRDefault="00AF56A7" w:rsidP="000567A5">
            <w:pPr>
              <w:pStyle w:val="ListParagraph"/>
              <w:widowControl/>
              <w:numPr>
                <w:ilvl w:val="0"/>
                <w:numId w:val="44"/>
              </w:numPr>
              <w:autoSpaceDE/>
              <w:autoSpaceDN/>
              <w:adjustRightInd/>
              <w:jc w:val="left"/>
              <w:rPr>
                <w:color w:val="000000"/>
                <w:sz w:val="18"/>
                <w:szCs w:val="20"/>
              </w:rPr>
            </w:pPr>
            <w:r w:rsidRPr="00C510B5">
              <w:rPr>
                <w:color w:val="000000"/>
                <w:sz w:val="18"/>
                <w:szCs w:val="20"/>
              </w:rPr>
              <w:t>Receive a Firm Order Commitment (FOC) date</w:t>
            </w:r>
          </w:p>
        </w:tc>
        <w:tc>
          <w:tcPr>
            <w:tcW w:w="540" w:type="dxa"/>
            <w:vMerge/>
            <w:shd w:val="clear" w:color="auto" w:fill="DBE5F1" w:themeFill="accent1" w:themeFillTint="33"/>
          </w:tcPr>
          <w:p w14:paraId="52FFC1AC" w14:textId="77777777" w:rsidR="00AF56A7" w:rsidRPr="00C510B5" w:rsidRDefault="00AF56A7" w:rsidP="004D3659">
            <w:pPr>
              <w:widowControl/>
              <w:tabs>
                <w:tab w:val="left" w:pos="3150"/>
              </w:tabs>
              <w:autoSpaceDE/>
              <w:autoSpaceDN/>
              <w:adjustRightInd/>
              <w:spacing w:after="120"/>
              <w:rPr>
                <w:rFonts w:eastAsia="Calibri"/>
                <w:b/>
                <w:sz w:val="18"/>
                <w:szCs w:val="20"/>
              </w:rPr>
            </w:pPr>
          </w:p>
        </w:tc>
        <w:tc>
          <w:tcPr>
            <w:tcW w:w="1350" w:type="dxa"/>
            <w:vMerge/>
            <w:shd w:val="clear" w:color="auto" w:fill="DBE5F1" w:themeFill="accent1" w:themeFillTint="33"/>
            <w:vAlign w:val="center"/>
          </w:tcPr>
          <w:p w14:paraId="38B5B921" w14:textId="77777777" w:rsidR="00AF56A7" w:rsidRPr="00C510B5" w:rsidRDefault="00AF56A7" w:rsidP="004D3659">
            <w:pPr>
              <w:widowControl/>
              <w:tabs>
                <w:tab w:val="left" w:pos="3150"/>
              </w:tabs>
              <w:autoSpaceDE/>
              <w:autoSpaceDN/>
              <w:adjustRightInd/>
              <w:spacing w:after="120"/>
              <w:rPr>
                <w:rFonts w:eastAsia="Calibri"/>
                <w:b/>
                <w:sz w:val="18"/>
                <w:szCs w:val="20"/>
              </w:rPr>
            </w:pPr>
          </w:p>
        </w:tc>
      </w:tr>
      <w:tr w:rsidR="00AF56A7" w:rsidRPr="007A4B19" w14:paraId="72FAECB3" w14:textId="77777777" w:rsidTr="005374BB">
        <w:trPr>
          <w:cantSplit/>
          <w:trHeight w:val="557"/>
          <w:jc w:val="center"/>
        </w:trPr>
        <w:tc>
          <w:tcPr>
            <w:tcW w:w="2875" w:type="dxa"/>
            <w:vMerge/>
            <w:shd w:val="clear" w:color="auto" w:fill="DBE5F1" w:themeFill="accent1" w:themeFillTint="33"/>
          </w:tcPr>
          <w:p w14:paraId="49D2502A" w14:textId="77777777" w:rsidR="00AF56A7" w:rsidRPr="00C617D4" w:rsidRDefault="00AF56A7" w:rsidP="004D3659">
            <w:pPr>
              <w:widowControl/>
              <w:tabs>
                <w:tab w:val="left" w:pos="3150"/>
              </w:tabs>
              <w:autoSpaceDE/>
              <w:autoSpaceDN/>
              <w:adjustRightInd/>
              <w:spacing w:after="120"/>
              <w:rPr>
                <w:rFonts w:eastAsia="Calibri"/>
                <w:b/>
                <w:sz w:val="18"/>
                <w:szCs w:val="18"/>
              </w:rPr>
            </w:pPr>
          </w:p>
        </w:tc>
        <w:tc>
          <w:tcPr>
            <w:tcW w:w="5760" w:type="dxa"/>
            <w:shd w:val="clear" w:color="auto" w:fill="DBE5F1" w:themeFill="accent1" w:themeFillTint="33"/>
            <w:vAlign w:val="center"/>
          </w:tcPr>
          <w:p w14:paraId="245A3ADE" w14:textId="77777777" w:rsidR="00AF56A7" w:rsidRPr="00C510B5" w:rsidRDefault="00AF56A7" w:rsidP="000567A5">
            <w:pPr>
              <w:pStyle w:val="ListParagraph"/>
              <w:widowControl/>
              <w:numPr>
                <w:ilvl w:val="0"/>
                <w:numId w:val="44"/>
              </w:numPr>
              <w:autoSpaceDE/>
              <w:autoSpaceDN/>
              <w:adjustRightInd/>
              <w:jc w:val="left"/>
              <w:rPr>
                <w:color w:val="000000"/>
                <w:sz w:val="18"/>
                <w:szCs w:val="20"/>
              </w:rPr>
            </w:pPr>
            <w:r w:rsidRPr="00C510B5">
              <w:rPr>
                <w:color w:val="000000"/>
                <w:sz w:val="18"/>
                <w:szCs w:val="20"/>
              </w:rPr>
              <w:t>Receive Service Order Completion Notice (SOCN) upon successful completion of installation and testing</w:t>
            </w:r>
          </w:p>
        </w:tc>
        <w:tc>
          <w:tcPr>
            <w:tcW w:w="540" w:type="dxa"/>
            <w:vMerge/>
            <w:shd w:val="clear" w:color="auto" w:fill="DBE5F1" w:themeFill="accent1" w:themeFillTint="33"/>
          </w:tcPr>
          <w:p w14:paraId="349127CC" w14:textId="77777777" w:rsidR="00AF56A7" w:rsidRPr="00C510B5" w:rsidRDefault="00AF56A7" w:rsidP="004D3659">
            <w:pPr>
              <w:widowControl/>
              <w:tabs>
                <w:tab w:val="left" w:pos="3150"/>
              </w:tabs>
              <w:autoSpaceDE/>
              <w:autoSpaceDN/>
              <w:adjustRightInd/>
              <w:spacing w:after="120"/>
              <w:rPr>
                <w:rFonts w:eastAsia="Calibri"/>
                <w:b/>
                <w:sz w:val="18"/>
                <w:szCs w:val="20"/>
              </w:rPr>
            </w:pPr>
          </w:p>
        </w:tc>
        <w:tc>
          <w:tcPr>
            <w:tcW w:w="1350" w:type="dxa"/>
            <w:vMerge/>
            <w:shd w:val="clear" w:color="auto" w:fill="DBE5F1" w:themeFill="accent1" w:themeFillTint="33"/>
            <w:vAlign w:val="center"/>
          </w:tcPr>
          <w:p w14:paraId="3FB08C16" w14:textId="77777777" w:rsidR="00AF56A7" w:rsidRPr="00C510B5" w:rsidRDefault="00AF56A7" w:rsidP="004D3659">
            <w:pPr>
              <w:widowControl/>
              <w:tabs>
                <w:tab w:val="left" w:pos="3150"/>
              </w:tabs>
              <w:autoSpaceDE/>
              <w:autoSpaceDN/>
              <w:adjustRightInd/>
              <w:spacing w:after="120"/>
              <w:rPr>
                <w:rFonts w:eastAsia="Calibri"/>
                <w:b/>
                <w:sz w:val="18"/>
                <w:szCs w:val="20"/>
              </w:rPr>
            </w:pPr>
          </w:p>
        </w:tc>
      </w:tr>
      <w:tr w:rsidR="00AF56A7" w:rsidRPr="007A4B19" w14:paraId="383B1F52" w14:textId="77777777" w:rsidTr="005374BB">
        <w:trPr>
          <w:cantSplit/>
          <w:trHeight w:val="548"/>
          <w:jc w:val="center"/>
        </w:trPr>
        <w:tc>
          <w:tcPr>
            <w:tcW w:w="2875" w:type="dxa"/>
            <w:vMerge/>
            <w:shd w:val="clear" w:color="auto" w:fill="DBE5F1" w:themeFill="accent1" w:themeFillTint="33"/>
          </w:tcPr>
          <w:p w14:paraId="1F577E86" w14:textId="77777777" w:rsidR="00AF56A7" w:rsidRPr="00C617D4" w:rsidRDefault="00AF56A7" w:rsidP="004D3659">
            <w:pPr>
              <w:widowControl/>
              <w:tabs>
                <w:tab w:val="left" w:pos="3150"/>
              </w:tabs>
              <w:autoSpaceDE/>
              <w:autoSpaceDN/>
              <w:adjustRightInd/>
              <w:spacing w:after="120"/>
              <w:rPr>
                <w:rFonts w:eastAsia="Calibri"/>
                <w:b/>
                <w:sz w:val="18"/>
                <w:szCs w:val="18"/>
              </w:rPr>
            </w:pPr>
          </w:p>
        </w:tc>
        <w:tc>
          <w:tcPr>
            <w:tcW w:w="5760" w:type="dxa"/>
            <w:shd w:val="clear" w:color="auto" w:fill="DBE5F1" w:themeFill="accent1" w:themeFillTint="33"/>
            <w:vAlign w:val="center"/>
          </w:tcPr>
          <w:p w14:paraId="7A9D98F1" w14:textId="77777777" w:rsidR="00AF56A7" w:rsidRPr="00C510B5" w:rsidRDefault="00AF56A7" w:rsidP="000567A5">
            <w:pPr>
              <w:pStyle w:val="ListParagraph"/>
              <w:widowControl/>
              <w:numPr>
                <w:ilvl w:val="0"/>
                <w:numId w:val="44"/>
              </w:numPr>
              <w:autoSpaceDE/>
              <w:autoSpaceDN/>
              <w:adjustRightInd/>
              <w:jc w:val="left"/>
              <w:rPr>
                <w:color w:val="000000"/>
                <w:sz w:val="18"/>
                <w:szCs w:val="20"/>
              </w:rPr>
            </w:pPr>
            <w:r w:rsidRPr="00C510B5">
              <w:rPr>
                <w:color w:val="000000"/>
                <w:sz w:val="18"/>
                <w:szCs w:val="20"/>
              </w:rPr>
              <w:t>Receive Other Notifications for administrative and service state changes as applicable</w:t>
            </w:r>
          </w:p>
        </w:tc>
        <w:tc>
          <w:tcPr>
            <w:tcW w:w="540" w:type="dxa"/>
            <w:vMerge/>
            <w:shd w:val="clear" w:color="auto" w:fill="DBE5F1" w:themeFill="accent1" w:themeFillTint="33"/>
          </w:tcPr>
          <w:p w14:paraId="0B015395" w14:textId="77777777" w:rsidR="00AF56A7" w:rsidRPr="00C510B5" w:rsidRDefault="00AF56A7" w:rsidP="004D3659">
            <w:pPr>
              <w:widowControl/>
              <w:tabs>
                <w:tab w:val="left" w:pos="3150"/>
              </w:tabs>
              <w:autoSpaceDE/>
              <w:autoSpaceDN/>
              <w:adjustRightInd/>
              <w:spacing w:after="120"/>
              <w:rPr>
                <w:rFonts w:eastAsia="Calibri"/>
                <w:b/>
                <w:sz w:val="18"/>
                <w:szCs w:val="20"/>
              </w:rPr>
            </w:pPr>
          </w:p>
        </w:tc>
        <w:tc>
          <w:tcPr>
            <w:tcW w:w="1350" w:type="dxa"/>
            <w:vMerge/>
            <w:shd w:val="clear" w:color="auto" w:fill="DBE5F1" w:themeFill="accent1" w:themeFillTint="33"/>
            <w:vAlign w:val="center"/>
          </w:tcPr>
          <w:p w14:paraId="4CF042AF" w14:textId="77777777" w:rsidR="00AF56A7" w:rsidRPr="00C510B5" w:rsidRDefault="00AF56A7" w:rsidP="004D3659">
            <w:pPr>
              <w:widowControl/>
              <w:tabs>
                <w:tab w:val="left" w:pos="3150"/>
              </w:tabs>
              <w:autoSpaceDE/>
              <w:autoSpaceDN/>
              <w:adjustRightInd/>
              <w:spacing w:after="120"/>
              <w:rPr>
                <w:rFonts w:eastAsia="Calibri"/>
                <w:b/>
                <w:sz w:val="18"/>
                <w:szCs w:val="20"/>
              </w:rPr>
            </w:pPr>
          </w:p>
        </w:tc>
      </w:tr>
      <w:tr w:rsidR="00AF56A7" w:rsidRPr="007A4B19" w14:paraId="7026D2B0" w14:textId="77777777" w:rsidTr="005374BB">
        <w:trPr>
          <w:cantSplit/>
          <w:trHeight w:val="548"/>
          <w:jc w:val="center"/>
        </w:trPr>
        <w:tc>
          <w:tcPr>
            <w:tcW w:w="2875" w:type="dxa"/>
            <w:vMerge/>
            <w:shd w:val="clear" w:color="auto" w:fill="DBE5F1" w:themeFill="accent1" w:themeFillTint="33"/>
          </w:tcPr>
          <w:p w14:paraId="30B8BF2F" w14:textId="77777777" w:rsidR="00AF56A7" w:rsidRPr="00C617D4" w:rsidRDefault="00AF56A7" w:rsidP="004D3659">
            <w:pPr>
              <w:widowControl/>
              <w:tabs>
                <w:tab w:val="left" w:pos="3150"/>
              </w:tabs>
              <w:autoSpaceDE/>
              <w:autoSpaceDN/>
              <w:adjustRightInd/>
              <w:spacing w:after="120"/>
              <w:rPr>
                <w:rFonts w:eastAsia="Calibri"/>
                <w:b/>
                <w:sz w:val="18"/>
                <w:szCs w:val="18"/>
              </w:rPr>
            </w:pPr>
          </w:p>
        </w:tc>
        <w:tc>
          <w:tcPr>
            <w:tcW w:w="5760" w:type="dxa"/>
            <w:shd w:val="clear" w:color="auto" w:fill="DBE5F1" w:themeFill="accent1" w:themeFillTint="33"/>
            <w:vAlign w:val="center"/>
          </w:tcPr>
          <w:p w14:paraId="3A8B3016" w14:textId="09A8593D" w:rsidR="00AF56A7" w:rsidRPr="00C510B5" w:rsidRDefault="00AF56A7" w:rsidP="000567A5">
            <w:pPr>
              <w:pStyle w:val="ListParagraph"/>
              <w:widowControl/>
              <w:numPr>
                <w:ilvl w:val="0"/>
                <w:numId w:val="44"/>
              </w:numPr>
              <w:autoSpaceDE/>
              <w:autoSpaceDN/>
              <w:adjustRightInd/>
              <w:jc w:val="left"/>
              <w:rPr>
                <w:color w:val="000000"/>
                <w:sz w:val="18"/>
                <w:szCs w:val="20"/>
              </w:rPr>
            </w:pPr>
            <w:r>
              <w:rPr>
                <w:color w:val="000000"/>
                <w:sz w:val="18"/>
                <w:szCs w:val="20"/>
              </w:rPr>
              <w:t xml:space="preserve">Prepare for service cutovers (See </w:t>
            </w:r>
            <w:r w:rsidR="008332E2">
              <w:rPr>
                <w:color w:val="000000"/>
                <w:sz w:val="18"/>
                <w:szCs w:val="20"/>
              </w:rPr>
              <w:t>Appendix</w:t>
            </w:r>
            <w:r>
              <w:rPr>
                <w:color w:val="000000"/>
                <w:sz w:val="18"/>
                <w:szCs w:val="20"/>
              </w:rPr>
              <w:t xml:space="preserve"> G for more information)</w:t>
            </w:r>
          </w:p>
        </w:tc>
        <w:tc>
          <w:tcPr>
            <w:tcW w:w="540" w:type="dxa"/>
            <w:vMerge/>
            <w:shd w:val="clear" w:color="auto" w:fill="DBE5F1" w:themeFill="accent1" w:themeFillTint="33"/>
          </w:tcPr>
          <w:p w14:paraId="08C096CF" w14:textId="77777777" w:rsidR="00AF56A7" w:rsidRPr="00C510B5" w:rsidRDefault="00AF56A7" w:rsidP="004D3659">
            <w:pPr>
              <w:widowControl/>
              <w:tabs>
                <w:tab w:val="left" w:pos="3150"/>
              </w:tabs>
              <w:autoSpaceDE/>
              <w:autoSpaceDN/>
              <w:adjustRightInd/>
              <w:spacing w:after="120"/>
              <w:rPr>
                <w:rFonts w:eastAsia="Calibri"/>
                <w:b/>
                <w:sz w:val="18"/>
                <w:szCs w:val="20"/>
              </w:rPr>
            </w:pPr>
          </w:p>
        </w:tc>
        <w:tc>
          <w:tcPr>
            <w:tcW w:w="1350" w:type="dxa"/>
            <w:vMerge/>
            <w:shd w:val="clear" w:color="auto" w:fill="DBE5F1" w:themeFill="accent1" w:themeFillTint="33"/>
            <w:vAlign w:val="center"/>
          </w:tcPr>
          <w:p w14:paraId="5F663C5E" w14:textId="77777777" w:rsidR="00AF56A7" w:rsidRPr="00C510B5" w:rsidRDefault="00AF56A7" w:rsidP="004D3659">
            <w:pPr>
              <w:widowControl/>
              <w:tabs>
                <w:tab w:val="left" w:pos="3150"/>
              </w:tabs>
              <w:autoSpaceDE/>
              <w:autoSpaceDN/>
              <w:adjustRightInd/>
              <w:spacing w:after="120"/>
              <w:rPr>
                <w:rFonts w:eastAsia="Calibri"/>
                <w:b/>
                <w:sz w:val="18"/>
                <w:szCs w:val="20"/>
              </w:rPr>
            </w:pPr>
          </w:p>
        </w:tc>
      </w:tr>
      <w:tr w:rsidR="004F55E8" w:rsidRPr="007A4B19" w14:paraId="6965AEC6" w14:textId="77777777" w:rsidTr="006407F6">
        <w:trPr>
          <w:cantSplit/>
          <w:trHeight w:val="1160"/>
          <w:jc w:val="center"/>
        </w:trPr>
        <w:tc>
          <w:tcPr>
            <w:tcW w:w="2875" w:type="dxa"/>
            <w:shd w:val="clear" w:color="auto" w:fill="FFFFFF" w:themeFill="background1"/>
            <w:vAlign w:val="center"/>
          </w:tcPr>
          <w:p w14:paraId="4F2D6E45" w14:textId="77777777" w:rsidR="008603A9" w:rsidRPr="00E436C5" w:rsidRDefault="008603A9" w:rsidP="004D3659">
            <w:pPr>
              <w:widowControl/>
              <w:tabs>
                <w:tab w:val="left" w:pos="3150"/>
              </w:tabs>
              <w:autoSpaceDE/>
              <w:autoSpaceDN/>
              <w:adjustRightInd/>
              <w:spacing w:after="120"/>
              <w:jc w:val="left"/>
              <w:rPr>
                <w:rFonts w:eastAsia="Calibri"/>
                <w:sz w:val="18"/>
              </w:rPr>
            </w:pPr>
            <w:r w:rsidRPr="00E436C5">
              <w:rPr>
                <w:rFonts w:eastAsia="Calibri"/>
                <w:sz w:val="18"/>
              </w:rPr>
              <w:t>Issue disconnects for current services on expiring contracts</w:t>
            </w:r>
          </w:p>
        </w:tc>
        <w:tc>
          <w:tcPr>
            <w:tcW w:w="5760" w:type="dxa"/>
            <w:shd w:val="clear" w:color="auto" w:fill="FFFFFF" w:themeFill="background1"/>
            <w:vAlign w:val="center"/>
          </w:tcPr>
          <w:p w14:paraId="1CEC32F9" w14:textId="77777777" w:rsidR="008603A9" w:rsidRPr="00A23B3F" w:rsidRDefault="008603A9" w:rsidP="004D3659">
            <w:pPr>
              <w:widowControl/>
              <w:autoSpaceDE/>
              <w:autoSpaceDN/>
              <w:adjustRightInd/>
              <w:rPr>
                <w:color w:val="000000"/>
                <w:sz w:val="20"/>
                <w:szCs w:val="20"/>
              </w:rPr>
            </w:pPr>
          </w:p>
        </w:tc>
        <w:sdt>
          <w:sdtPr>
            <w:rPr>
              <w:rFonts w:ascii="Segoe UI Symbol" w:eastAsia="MS Gothic" w:hAnsi="Segoe UI Symbol" w:cs="Segoe UI Symbol"/>
              <w:sz w:val="20"/>
              <w:szCs w:val="20"/>
            </w:rPr>
            <w:id w:val="1769044056"/>
            <w14:checkbox>
              <w14:checked w14:val="0"/>
              <w14:checkedState w14:val="00FE" w14:font="Wingdings"/>
              <w14:uncheckedState w14:val="2610" w14:font="MS Gothic"/>
            </w14:checkbox>
          </w:sdtPr>
          <w:sdtEndPr>
            <w:rPr>
              <w:rFonts w:cs="Arial"/>
              <w:szCs w:val="24"/>
            </w:rPr>
          </w:sdtEndPr>
          <w:sdtContent>
            <w:tc>
              <w:tcPr>
                <w:tcW w:w="540" w:type="dxa"/>
                <w:shd w:val="clear" w:color="auto" w:fill="FFFFFF" w:themeFill="background1"/>
                <w:vAlign w:val="center"/>
              </w:tcPr>
              <w:p w14:paraId="2C6C2F22" w14:textId="2786DF83" w:rsidR="008603A9" w:rsidRPr="00A23B3F" w:rsidRDefault="00994B91" w:rsidP="004D3659">
                <w:pPr>
                  <w:widowControl/>
                  <w:tabs>
                    <w:tab w:val="left" w:pos="3150"/>
                  </w:tabs>
                  <w:autoSpaceDE/>
                  <w:autoSpaceDN/>
                  <w:adjustRightInd/>
                  <w:spacing w:after="120"/>
                  <w:jc w:val="center"/>
                  <w:rPr>
                    <w:rFonts w:eastAsia="Calibri"/>
                    <w:sz w:val="20"/>
                    <w:szCs w:val="20"/>
                  </w:rPr>
                </w:pPr>
                <w:r w:rsidRPr="009B2DFB">
                  <w:rPr>
                    <w:rFonts w:ascii="MS Gothic" w:eastAsia="MS Gothic" w:hAnsi="MS Gothic" w:hint="eastAsia"/>
                    <w:sz w:val="20"/>
                  </w:rPr>
                  <w:t>☐</w:t>
                </w:r>
              </w:p>
            </w:tc>
          </w:sdtContent>
        </w:sdt>
        <w:tc>
          <w:tcPr>
            <w:tcW w:w="1350" w:type="dxa"/>
            <w:shd w:val="clear" w:color="auto" w:fill="FFFFFF" w:themeFill="background1"/>
            <w:vAlign w:val="center"/>
          </w:tcPr>
          <w:p w14:paraId="4D58F96D" w14:textId="77777777" w:rsidR="008603A9" w:rsidRPr="00E436C5" w:rsidRDefault="008603A9" w:rsidP="004D3659">
            <w:pPr>
              <w:widowControl/>
              <w:tabs>
                <w:tab w:val="left" w:pos="3150"/>
              </w:tabs>
              <w:autoSpaceDE/>
              <w:autoSpaceDN/>
              <w:adjustRightInd/>
              <w:spacing w:after="120"/>
              <w:jc w:val="center"/>
              <w:rPr>
                <w:rFonts w:eastAsia="Calibri"/>
                <w:sz w:val="18"/>
              </w:rPr>
            </w:pPr>
            <w:r w:rsidRPr="00E436C5">
              <w:rPr>
                <w:rFonts w:eastAsia="Calibri"/>
                <w:sz w:val="18"/>
              </w:rPr>
              <w:t>ASAP after replacement service is accepted</w:t>
            </w:r>
          </w:p>
        </w:tc>
      </w:tr>
      <w:tr w:rsidR="004F55E8" w:rsidRPr="007A4B19" w14:paraId="3EC0CB8B" w14:textId="77777777" w:rsidTr="00E436C5">
        <w:trPr>
          <w:cantSplit/>
          <w:trHeight w:val="728"/>
          <w:jc w:val="center"/>
        </w:trPr>
        <w:tc>
          <w:tcPr>
            <w:tcW w:w="2875" w:type="dxa"/>
            <w:tcBorders>
              <w:bottom w:val="single" w:sz="4" w:space="0" w:color="auto"/>
            </w:tcBorders>
            <w:shd w:val="clear" w:color="auto" w:fill="DBE5F1" w:themeFill="accent1" w:themeFillTint="33"/>
            <w:vAlign w:val="center"/>
          </w:tcPr>
          <w:p w14:paraId="7CEEDC82" w14:textId="65E25EBB" w:rsidR="00E06E16" w:rsidRPr="00E436C5" w:rsidRDefault="00A3757C" w:rsidP="00844874">
            <w:pPr>
              <w:widowControl/>
              <w:tabs>
                <w:tab w:val="left" w:pos="3150"/>
              </w:tabs>
              <w:autoSpaceDE/>
              <w:autoSpaceDN/>
              <w:adjustRightInd/>
              <w:spacing w:after="120"/>
              <w:jc w:val="left"/>
              <w:rPr>
                <w:rFonts w:eastAsia="Calibri"/>
                <w:sz w:val="18"/>
              </w:rPr>
            </w:pPr>
            <w:r w:rsidRPr="00442CC9">
              <w:rPr>
                <w:rFonts w:eastAsia="Calibri"/>
                <w:sz w:val="18"/>
                <w:szCs w:val="18"/>
              </w:rPr>
              <w:lastRenderedPageBreak/>
              <w:t>Agencies achieve</w:t>
            </w:r>
            <w:r w:rsidR="008603A9" w:rsidRPr="00442CC9">
              <w:rPr>
                <w:rFonts w:eastAsia="Calibri"/>
                <w:sz w:val="18"/>
                <w:szCs w:val="18"/>
              </w:rPr>
              <w:t xml:space="preserve"> 50% </w:t>
            </w:r>
            <w:r w:rsidRPr="00442CC9">
              <w:rPr>
                <w:rFonts w:eastAsia="Calibri"/>
                <w:sz w:val="18"/>
                <w:szCs w:val="18"/>
              </w:rPr>
              <w:t xml:space="preserve">transition of services </w:t>
            </w:r>
          </w:p>
        </w:tc>
        <w:tc>
          <w:tcPr>
            <w:tcW w:w="5760" w:type="dxa"/>
            <w:tcBorders>
              <w:bottom w:val="single" w:sz="4" w:space="0" w:color="auto"/>
            </w:tcBorders>
            <w:shd w:val="clear" w:color="auto" w:fill="DBE5F1" w:themeFill="accent1" w:themeFillTint="33"/>
            <w:vAlign w:val="center"/>
          </w:tcPr>
          <w:p w14:paraId="728E6DB8" w14:textId="77777777" w:rsidR="008603A9" w:rsidRPr="00E436C5" w:rsidRDefault="008603A9" w:rsidP="004D3659">
            <w:pPr>
              <w:widowControl/>
              <w:autoSpaceDE/>
              <w:autoSpaceDN/>
              <w:adjustRightInd/>
              <w:rPr>
                <w:color w:val="000000"/>
                <w:sz w:val="18"/>
              </w:rPr>
            </w:pPr>
          </w:p>
        </w:tc>
        <w:sdt>
          <w:sdtPr>
            <w:rPr>
              <w:rFonts w:ascii="Segoe UI Symbol" w:eastAsia="MS Gothic" w:hAnsi="Segoe UI Symbol" w:cs="Segoe UI Symbol"/>
              <w:sz w:val="20"/>
              <w:szCs w:val="20"/>
            </w:rPr>
            <w:id w:val="-1865588057"/>
            <w14:checkbox>
              <w14:checked w14:val="0"/>
              <w14:checkedState w14:val="00FE" w14:font="Wingdings"/>
              <w14:uncheckedState w14:val="2610" w14:font="MS Gothic"/>
            </w14:checkbox>
          </w:sdtPr>
          <w:sdtEndPr/>
          <w:sdtContent>
            <w:tc>
              <w:tcPr>
                <w:tcW w:w="540" w:type="dxa"/>
                <w:tcBorders>
                  <w:bottom w:val="single" w:sz="4" w:space="0" w:color="auto"/>
                </w:tcBorders>
                <w:shd w:val="clear" w:color="auto" w:fill="DBE5F1" w:themeFill="accent1" w:themeFillTint="33"/>
                <w:vAlign w:val="center"/>
              </w:tcPr>
              <w:p w14:paraId="5D142DD8" w14:textId="368CD6C4" w:rsidR="008603A9" w:rsidRPr="00A23B3F" w:rsidRDefault="000B708C" w:rsidP="004D3659">
                <w:pPr>
                  <w:widowControl/>
                  <w:tabs>
                    <w:tab w:val="left" w:pos="3150"/>
                  </w:tabs>
                  <w:autoSpaceDE/>
                  <w:autoSpaceDN/>
                  <w:adjustRightInd/>
                  <w:spacing w:after="120"/>
                  <w:jc w:val="center"/>
                  <w:rPr>
                    <w:rFonts w:eastAsia="Calibri"/>
                    <w:sz w:val="20"/>
                    <w:szCs w:val="20"/>
                  </w:rPr>
                </w:pPr>
                <w:r w:rsidRPr="00A23B3F">
                  <w:rPr>
                    <w:rFonts w:ascii="Segoe UI Symbol" w:eastAsia="MS Gothic" w:hAnsi="Segoe UI Symbol" w:cs="Segoe UI Symbol"/>
                    <w:sz w:val="20"/>
                    <w:szCs w:val="20"/>
                  </w:rPr>
                  <w:t>☐</w:t>
                </w:r>
              </w:p>
            </w:tc>
          </w:sdtContent>
        </w:sdt>
        <w:tc>
          <w:tcPr>
            <w:tcW w:w="1350" w:type="dxa"/>
            <w:tcBorders>
              <w:bottom w:val="single" w:sz="4" w:space="0" w:color="auto"/>
            </w:tcBorders>
            <w:shd w:val="clear" w:color="auto" w:fill="DBE5F1" w:themeFill="accent1" w:themeFillTint="33"/>
            <w:vAlign w:val="center"/>
          </w:tcPr>
          <w:p w14:paraId="6A2F9700" w14:textId="38592B9D" w:rsidR="008603A9" w:rsidRPr="00E436C5" w:rsidRDefault="007969B4" w:rsidP="00E436C5">
            <w:pPr>
              <w:widowControl/>
              <w:tabs>
                <w:tab w:val="left" w:pos="3150"/>
              </w:tabs>
              <w:autoSpaceDE/>
              <w:autoSpaceDN/>
              <w:adjustRightInd/>
              <w:spacing w:after="120"/>
              <w:rPr>
                <w:rFonts w:eastAsia="Calibri"/>
                <w:sz w:val="18"/>
              </w:rPr>
            </w:pPr>
            <w:r w:rsidRPr="00442CC9">
              <w:rPr>
                <w:rFonts w:eastAsia="Calibri"/>
                <w:sz w:val="18"/>
                <w:szCs w:val="18"/>
              </w:rPr>
              <w:t>Mar 2021</w:t>
            </w:r>
          </w:p>
        </w:tc>
      </w:tr>
      <w:tr w:rsidR="00A3757C" w:rsidRPr="007A4B19" w14:paraId="1DE37698" w14:textId="77777777" w:rsidTr="00894010">
        <w:trPr>
          <w:cantSplit/>
          <w:trHeight w:val="728"/>
          <w:jc w:val="center"/>
        </w:trPr>
        <w:tc>
          <w:tcPr>
            <w:tcW w:w="2875" w:type="dxa"/>
            <w:tcBorders>
              <w:bottom w:val="single" w:sz="4" w:space="0" w:color="auto"/>
            </w:tcBorders>
            <w:shd w:val="clear" w:color="auto" w:fill="auto"/>
            <w:vAlign w:val="center"/>
          </w:tcPr>
          <w:p w14:paraId="51F1BB3D" w14:textId="6E3610A1" w:rsidR="00A3757C" w:rsidRPr="00442CC9" w:rsidRDefault="00A3757C" w:rsidP="00844874">
            <w:pPr>
              <w:widowControl/>
              <w:tabs>
                <w:tab w:val="left" w:pos="3150"/>
              </w:tabs>
              <w:autoSpaceDE/>
              <w:autoSpaceDN/>
              <w:adjustRightInd/>
              <w:spacing w:after="120"/>
              <w:jc w:val="left"/>
              <w:rPr>
                <w:rFonts w:eastAsia="Calibri"/>
                <w:sz w:val="18"/>
                <w:szCs w:val="18"/>
              </w:rPr>
            </w:pPr>
            <w:r w:rsidRPr="00442CC9">
              <w:rPr>
                <w:rFonts w:eastAsia="Calibri"/>
                <w:sz w:val="18"/>
                <w:szCs w:val="18"/>
              </w:rPr>
              <w:t>Agencies achieve 90% transition of services</w:t>
            </w:r>
          </w:p>
        </w:tc>
        <w:tc>
          <w:tcPr>
            <w:tcW w:w="5760" w:type="dxa"/>
            <w:tcBorders>
              <w:bottom w:val="single" w:sz="4" w:space="0" w:color="auto"/>
            </w:tcBorders>
            <w:shd w:val="clear" w:color="auto" w:fill="auto"/>
            <w:vAlign w:val="center"/>
          </w:tcPr>
          <w:p w14:paraId="41A9026E" w14:textId="77777777" w:rsidR="00A3757C" w:rsidRPr="00442CC9" w:rsidRDefault="00A3757C" w:rsidP="004D3659">
            <w:pPr>
              <w:widowControl/>
              <w:autoSpaceDE/>
              <w:autoSpaceDN/>
              <w:adjustRightInd/>
              <w:rPr>
                <w:color w:val="000000"/>
                <w:sz w:val="18"/>
                <w:szCs w:val="18"/>
              </w:rPr>
            </w:pPr>
          </w:p>
        </w:tc>
        <w:tc>
          <w:tcPr>
            <w:tcW w:w="540" w:type="dxa"/>
            <w:tcBorders>
              <w:bottom w:val="single" w:sz="4" w:space="0" w:color="auto"/>
            </w:tcBorders>
            <w:shd w:val="clear" w:color="auto" w:fill="auto"/>
            <w:vAlign w:val="center"/>
          </w:tcPr>
          <w:p w14:paraId="0BCF05B0" w14:textId="022D1A65" w:rsidR="00A3757C" w:rsidRDefault="00A3757C" w:rsidP="00442CC9">
            <w:pPr>
              <w:jc w:val="center"/>
              <w:rPr>
                <w:rFonts w:ascii="Segoe UI Symbol" w:eastAsia="MS Gothic" w:hAnsi="Segoe UI Symbol" w:cs="Segoe UI Symbol"/>
                <w:sz w:val="20"/>
                <w:szCs w:val="20"/>
              </w:rPr>
            </w:pPr>
            <w:r w:rsidRPr="00A3757C">
              <w:rPr>
                <w:rFonts w:ascii="Segoe UI Symbol" w:eastAsia="MS Gothic" w:hAnsi="Segoe UI Symbol" w:cs="Segoe UI Symbol"/>
                <w:sz w:val="20"/>
                <w:szCs w:val="20"/>
              </w:rPr>
              <w:t>☐</w:t>
            </w:r>
          </w:p>
        </w:tc>
        <w:tc>
          <w:tcPr>
            <w:tcW w:w="1350" w:type="dxa"/>
            <w:tcBorders>
              <w:bottom w:val="single" w:sz="4" w:space="0" w:color="auto"/>
            </w:tcBorders>
            <w:shd w:val="clear" w:color="auto" w:fill="auto"/>
            <w:vAlign w:val="center"/>
          </w:tcPr>
          <w:p w14:paraId="2019EE9B" w14:textId="189FE26C" w:rsidR="00A3757C" w:rsidRPr="00442CC9" w:rsidDel="007969B4" w:rsidRDefault="00A3757C" w:rsidP="001742A6">
            <w:pPr>
              <w:widowControl/>
              <w:tabs>
                <w:tab w:val="left" w:pos="3150"/>
              </w:tabs>
              <w:autoSpaceDE/>
              <w:autoSpaceDN/>
              <w:adjustRightInd/>
              <w:spacing w:after="120"/>
              <w:rPr>
                <w:rFonts w:eastAsia="Calibri"/>
                <w:sz w:val="18"/>
                <w:szCs w:val="18"/>
              </w:rPr>
            </w:pPr>
            <w:r w:rsidRPr="00442CC9">
              <w:rPr>
                <w:rFonts w:eastAsia="Calibri"/>
                <w:sz w:val="18"/>
                <w:szCs w:val="18"/>
              </w:rPr>
              <w:t>Mar 2022</w:t>
            </w:r>
          </w:p>
        </w:tc>
      </w:tr>
      <w:tr w:rsidR="001742A6" w:rsidRPr="007A4B19" w14:paraId="58D11621" w14:textId="77777777" w:rsidTr="00E436C5">
        <w:trPr>
          <w:cantSplit/>
          <w:trHeight w:val="728"/>
          <w:jc w:val="center"/>
        </w:trPr>
        <w:tc>
          <w:tcPr>
            <w:tcW w:w="2875" w:type="dxa"/>
            <w:shd w:val="clear" w:color="auto" w:fill="DBE5F1" w:themeFill="accent1" w:themeFillTint="33"/>
            <w:vAlign w:val="center"/>
          </w:tcPr>
          <w:p w14:paraId="44503ED8" w14:textId="4FEAED4B" w:rsidR="001742A6" w:rsidRPr="00E436C5" w:rsidRDefault="00A3757C" w:rsidP="00844874">
            <w:pPr>
              <w:widowControl/>
              <w:tabs>
                <w:tab w:val="left" w:pos="3150"/>
              </w:tabs>
              <w:autoSpaceDE/>
              <w:autoSpaceDN/>
              <w:adjustRightInd/>
              <w:spacing w:after="120"/>
              <w:jc w:val="left"/>
              <w:rPr>
                <w:rFonts w:eastAsia="Calibri"/>
                <w:sz w:val="18"/>
              </w:rPr>
            </w:pPr>
            <w:r w:rsidRPr="00442CC9">
              <w:rPr>
                <w:rFonts w:eastAsia="Calibri"/>
                <w:sz w:val="18"/>
                <w:szCs w:val="18"/>
              </w:rPr>
              <w:t>Agencies achieve 100% transition of services (disconnected)</w:t>
            </w:r>
          </w:p>
        </w:tc>
        <w:tc>
          <w:tcPr>
            <w:tcW w:w="5760" w:type="dxa"/>
            <w:shd w:val="clear" w:color="auto" w:fill="DBE5F1" w:themeFill="accent1" w:themeFillTint="33"/>
            <w:vAlign w:val="center"/>
          </w:tcPr>
          <w:p w14:paraId="5587CE31" w14:textId="3F06AFA3" w:rsidR="001742A6" w:rsidRPr="00E436C5" w:rsidRDefault="001742A6" w:rsidP="004D3659">
            <w:pPr>
              <w:widowControl/>
              <w:autoSpaceDE/>
              <w:autoSpaceDN/>
              <w:adjustRightInd/>
              <w:rPr>
                <w:color w:val="000000"/>
                <w:sz w:val="18"/>
              </w:rPr>
            </w:pPr>
            <w:r w:rsidRPr="00E436C5">
              <w:rPr>
                <w:color w:val="000000"/>
                <w:sz w:val="18"/>
              </w:rPr>
              <w:t xml:space="preserve">Agencies should plan to complete their transition by </w:t>
            </w:r>
            <w:r w:rsidRPr="00442CC9">
              <w:rPr>
                <w:color w:val="000000"/>
                <w:sz w:val="18"/>
                <w:szCs w:val="18"/>
              </w:rPr>
              <w:t>September 2022.</w:t>
            </w:r>
            <w:r w:rsidRPr="00E436C5">
              <w:rPr>
                <w:color w:val="000000"/>
                <w:sz w:val="18"/>
              </w:rPr>
              <w:t xml:space="preserve"> Some agencies will have challenges completing by that timeframe</w:t>
            </w:r>
            <w:r w:rsidR="00BA70A9">
              <w:rPr>
                <w:color w:val="000000"/>
                <w:sz w:val="18"/>
                <w:szCs w:val="18"/>
              </w:rPr>
              <w:t xml:space="preserve"> and should work with GSA</w:t>
            </w:r>
            <w:r w:rsidR="00BA70A9" w:rsidRPr="00E436C5">
              <w:rPr>
                <w:color w:val="000000"/>
                <w:sz w:val="18"/>
              </w:rPr>
              <w:t xml:space="preserve"> to </w:t>
            </w:r>
            <w:r w:rsidR="00BA70A9">
              <w:rPr>
                <w:color w:val="000000"/>
                <w:sz w:val="18"/>
                <w:szCs w:val="18"/>
              </w:rPr>
              <w:t>mitigate</w:t>
            </w:r>
            <w:r w:rsidR="00BA70A9" w:rsidRPr="00E436C5">
              <w:rPr>
                <w:color w:val="000000"/>
                <w:sz w:val="18"/>
              </w:rPr>
              <w:t xml:space="preserve"> the </w:t>
            </w:r>
            <w:r w:rsidR="00BA70A9">
              <w:rPr>
                <w:color w:val="000000"/>
                <w:sz w:val="18"/>
                <w:szCs w:val="18"/>
              </w:rPr>
              <w:t>risks</w:t>
            </w:r>
            <w:r w:rsidRPr="00442CC9">
              <w:rPr>
                <w:color w:val="000000"/>
                <w:sz w:val="18"/>
                <w:szCs w:val="18"/>
              </w:rPr>
              <w:t xml:space="preserve">.  </w:t>
            </w:r>
            <w:r w:rsidRPr="00E436C5">
              <w:rPr>
                <w:color w:val="000000"/>
                <w:sz w:val="18"/>
              </w:rPr>
              <w:t xml:space="preserve">  </w:t>
            </w:r>
          </w:p>
        </w:tc>
        <w:sdt>
          <w:sdtPr>
            <w:rPr>
              <w:rFonts w:ascii="Segoe UI Symbol" w:eastAsia="MS Gothic" w:hAnsi="Segoe UI Symbol" w:cs="Segoe UI Symbol"/>
              <w:sz w:val="20"/>
              <w:szCs w:val="20"/>
            </w:rPr>
            <w:id w:val="195275373"/>
            <w14:checkbox>
              <w14:checked w14:val="0"/>
              <w14:checkedState w14:val="00FE" w14:font="Wingdings"/>
              <w14:uncheckedState w14:val="2610" w14:font="MS Gothic"/>
            </w14:checkbox>
          </w:sdtPr>
          <w:sdtEndPr>
            <w:rPr>
              <w:rFonts w:cs="Arial"/>
              <w:szCs w:val="24"/>
            </w:rPr>
          </w:sdtEndPr>
          <w:sdtContent>
            <w:tc>
              <w:tcPr>
                <w:tcW w:w="540" w:type="dxa"/>
                <w:shd w:val="clear" w:color="auto" w:fill="DBE5F1" w:themeFill="accent1" w:themeFillTint="33"/>
                <w:vAlign w:val="center"/>
              </w:tcPr>
              <w:p w14:paraId="55FE12F4" w14:textId="072ACFFF" w:rsidR="001742A6" w:rsidRPr="00E436C5" w:rsidRDefault="001742A6" w:rsidP="004D3659">
                <w:pPr>
                  <w:widowControl/>
                  <w:tabs>
                    <w:tab w:val="left" w:pos="3150"/>
                  </w:tabs>
                  <w:autoSpaceDE/>
                  <w:autoSpaceDN/>
                  <w:adjustRightInd/>
                  <w:spacing w:after="120"/>
                  <w:jc w:val="center"/>
                  <w:rPr>
                    <w:rFonts w:ascii="Segoe UI Symbol" w:eastAsia="MS Gothic" w:hAnsi="Segoe UI Symbol"/>
                    <w:sz w:val="20"/>
                  </w:rPr>
                </w:pPr>
                <w:r w:rsidRPr="009B2DFB">
                  <w:rPr>
                    <w:rFonts w:ascii="MS Gothic" w:eastAsia="MS Gothic" w:hAnsi="MS Gothic" w:hint="eastAsia"/>
                    <w:sz w:val="20"/>
                  </w:rPr>
                  <w:t>☐</w:t>
                </w:r>
              </w:p>
            </w:tc>
          </w:sdtContent>
        </w:sdt>
        <w:tc>
          <w:tcPr>
            <w:tcW w:w="1350" w:type="dxa"/>
            <w:shd w:val="clear" w:color="auto" w:fill="DBE5F1" w:themeFill="accent1" w:themeFillTint="33"/>
            <w:vAlign w:val="center"/>
          </w:tcPr>
          <w:p w14:paraId="0F29FCBA" w14:textId="7E8CCB4A" w:rsidR="001742A6" w:rsidRPr="00E436C5" w:rsidDel="007969B4" w:rsidRDefault="001742A6" w:rsidP="00E436C5">
            <w:pPr>
              <w:widowControl/>
              <w:tabs>
                <w:tab w:val="left" w:pos="3150"/>
              </w:tabs>
              <w:autoSpaceDE/>
              <w:autoSpaceDN/>
              <w:adjustRightInd/>
              <w:spacing w:after="120"/>
              <w:rPr>
                <w:rFonts w:eastAsia="Calibri"/>
                <w:sz w:val="18"/>
              </w:rPr>
            </w:pPr>
            <w:r w:rsidRPr="00442CC9">
              <w:rPr>
                <w:rFonts w:eastAsia="Calibri"/>
                <w:sz w:val="18"/>
                <w:szCs w:val="18"/>
              </w:rPr>
              <w:t>Sept 2022</w:t>
            </w:r>
          </w:p>
        </w:tc>
      </w:tr>
    </w:tbl>
    <w:p w14:paraId="003A091F" w14:textId="77777777" w:rsidR="00A846A0" w:rsidRDefault="00A846A0" w:rsidP="00A23B3F">
      <w:pPr>
        <w:widowControl/>
        <w:autoSpaceDE/>
        <w:autoSpaceDN/>
        <w:adjustRightInd/>
        <w:jc w:val="left"/>
        <w:rPr>
          <w:rFonts w:eastAsia="Calibri"/>
          <w:b/>
          <w:sz w:val="22"/>
          <w:szCs w:val="22"/>
        </w:rPr>
        <w:sectPr w:rsidR="00A846A0" w:rsidSect="000B708C">
          <w:pgSz w:w="12240" w:h="15840" w:code="1"/>
          <w:pgMar w:top="1440" w:right="1440" w:bottom="1440" w:left="1440" w:header="720" w:footer="720" w:gutter="0"/>
          <w:cols w:space="720"/>
          <w:titlePg/>
          <w:docGrid w:linePitch="360"/>
        </w:sectPr>
      </w:pPr>
    </w:p>
    <w:p w14:paraId="13DBEE64" w14:textId="133A3269" w:rsidR="00A846A0" w:rsidRDefault="00A846A0" w:rsidP="00774C8C">
      <w:pPr>
        <w:pStyle w:val="Appendix"/>
        <w:jc w:val="center"/>
      </w:pPr>
      <w:bookmarkStart w:id="173" w:name="_Toc12525487"/>
      <w:bookmarkStart w:id="174" w:name="_Toc107325318"/>
      <w:r w:rsidRPr="00A23B3F">
        <w:lastRenderedPageBreak/>
        <w:t xml:space="preserve">Appendix </w:t>
      </w:r>
      <w:r w:rsidRPr="00894010">
        <w:t>F</w:t>
      </w:r>
      <w:r w:rsidRPr="00A23B3F">
        <w:t xml:space="preserve"> –</w:t>
      </w:r>
      <w:r>
        <w:t xml:space="preserve"> Transition Order Sequencing</w:t>
      </w:r>
      <w:bookmarkEnd w:id="173"/>
      <w:bookmarkEnd w:id="174"/>
    </w:p>
    <w:p w14:paraId="18D19EED" w14:textId="650DDE47" w:rsidR="00721F18" w:rsidRPr="007505FE" w:rsidRDefault="00BE2AC6" w:rsidP="00774C8C">
      <w:pPr>
        <w:spacing w:before="240" w:after="60"/>
        <w:rPr>
          <w:bCs/>
          <w:szCs w:val="28"/>
        </w:rPr>
      </w:pPr>
      <w:bookmarkStart w:id="175" w:name="_Overview"/>
      <w:bookmarkStart w:id="176" w:name="_Toc531084281"/>
      <w:bookmarkStart w:id="177" w:name="_Ref345919922"/>
      <w:bookmarkStart w:id="178" w:name="_Ref345922079"/>
      <w:bookmarkEnd w:id="175"/>
      <w:r>
        <w:rPr>
          <w:b/>
          <w:bCs/>
          <w:sz w:val="28"/>
          <w:szCs w:val="28"/>
        </w:rPr>
        <w:t>F.1</w:t>
      </w:r>
      <w:r>
        <w:rPr>
          <w:b/>
          <w:bCs/>
          <w:sz w:val="28"/>
          <w:szCs w:val="28"/>
        </w:rPr>
        <w:tab/>
      </w:r>
      <w:r w:rsidR="00721F18" w:rsidRPr="00774C8C">
        <w:rPr>
          <w:b/>
          <w:bCs/>
          <w:sz w:val="28"/>
          <w:szCs w:val="28"/>
        </w:rPr>
        <w:t>Overview</w:t>
      </w:r>
      <w:bookmarkEnd w:id="176"/>
      <w:bookmarkEnd w:id="177"/>
      <w:bookmarkEnd w:id="178"/>
    </w:p>
    <w:p w14:paraId="0D8D1741" w14:textId="4A5FE33E" w:rsidR="00721F18" w:rsidRPr="00B40155" w:rsidRDefault="00721F18" w:rsidP="00721F18">
      <w:r w:rsidRPr="00B40155">
        <w:t xml:space="preserve">A collaboration team made up of representatives from </w:t>
      </w:r>
      <w:r w:rsidR="00F11A83">
        <w:t>Enterprise Infrastructure Solutions (</w:t>
      </w:r>
      <w:r w:rsidRPr="00B40155">
        <w:t>EIS</w:t>
      </w:r>
      <w:r w:rsidR="00F11A83">
        <w:t>)</w:t>
      </w:r>
      <w:r w:rsidRPr="00B40155">
        <w:t xml:space="preserve"> </w:t>
      </w:r>
      <w:r w:rsidR="00B415BC">
        <w:t>c</w:t>
      </w:r>
      <w:r w:rsidRPr="00B40155">
        <w:t xml:space="preserve">ontractors, </w:t>
      </w:r>
      <w:r w:rsidR="00782217">
        <w:t>GSA’s customer engagement organization</w:t>
      </w:r>
      <w:r w:rsidR="00B415BC">
        <w:t>,</w:t>
      </w:r>
      <w:r w:rsidRPr="00B40155">
        <w:t xml:space="preserve"> and GSA’s Transition Coordination Center was formed to collectively agree on guidance </w:t>
      </w:r>
      <w:r w:rsidR="00971BB9">
        <w:t>to share</w:t>
      </w:r>
      <w:r w:rsidRPr="00B40155">
        <w:t xml:space="preserve"> with agencies about sequencing EIS orders to efficiently accomplish the transition. The guidance provided by the collaboration team is intended to assist agencies with the </w:t>
      </w:r>
      <w:r w:rsidR="00F11A83">
        <w:t>implementation</w:t>
      </w:r>
      <w:r w:rsidRPr="00B40155">
        <w:t xml:space="preserve"> of their </w:t>
      </w:r>
      <w:r w:rsidR="00F11A83">
        <w:t>transition</w:t>
      </w:r>
      <w:r w:rsidR="00F11A83" w:rsidRPr="00B40155">
        <w:t xml:space="preserve"> </w:t>
      </w:r>
      <w:r w:rsidRPr="00B40155">
        <w:t xml:space="preserve">to EIS by providing an extensive listing of </w:t>
      </w:r>
      <w:r w:rsidR="00F11A83">
        <w:t>considerations</w:t>
      </w:r>
      <w:r w:rsidRPr="00B40155">
        <w:t>.</w:t>
      </w:r>
    </w:p>
    <w:p w14:paraId="10CE5361" w14:textId="0A6A9293" w:rsidR="00721F18" w:rsidRPr="007505FE" w:rsidRDefault="00BE2AC6" w:rsidP="00774C8C">
      <w:pPr>
        <w:spacing w:before="240" w:after="60"/>
        <w:rPr>
          <w:bCs/>
          <w:szCs w:val="28"/>
        </w:rPr>
      </w:pPr>
      <w:bookmarkStart w:id="179" w:name="_Toc493603791"/>
      <w:bookmarkStart w:id="180" w:name="_Toc493603907"/>
      <w:bookmarkStart w:id="181" w:name="_Toc493603792"/>
      <w:bookmarkStart w:id="182" w:name="_Toc493603908"/>
      <w:bookmarkStart w:id="183" w:name="_Toc493603793"/>
      <w:bookmarkStart w:id="184" w:name="_Toc493603909"/>
      <w:bookmarkStart w:id="185" w:name="_Toc493603794"/>
      <w:bookmarkStart w:id="186" w:name="_Toc493603910"/>
      <w:bookmarkStart w:id="187" w:name="_Toc493603795"/>
      <w:bookmarkStart w:id="188" w:name="_Toc493603911"/>
      <w:bookmarkStart w:id="189" w:name="_Toc493603796"/>
      <w:bookmarkStart w:id="190" w:name="_Toc493603912"/>
      <w:bookmarkStart w:id="191" w:name="_Toc493603797"/>
      <w:bookmarkStart w:id="192" w:name="_Toc493603913"/>
      <w:bookmarkStart w:id="193" w:name="_Toc493603798"/>
      <w:bookmarkStart w:id="194" w:name="_Toc493603914"/>
      <w:bookmarkStart w:id="195" w:name="_Toc493603799"/>
      <w:bookmarkStart w:id="196" w:name="_Toc493603915"/>
      <w:bookmarkStart w:id="197" w:name="_Toc493603800"/>
      <w:bookmarkStart w:id="198" w:name="_Toc493603916"/>
      <w:bookmarkStart w:id="199" w:name="_Toc493603801"/>
      <w:bookmarkStart w:id="200" w:name="_Toc493603917"/>
      <w:bookmarkStart w:id="201" w:name="_Toc449010846"/>
      <w:bookmarkStart w:id="202" w:name="_Toc370889466"/>
      <w:bookmarkStart w:id="203" w:name="_Roles_and_Responsibilities"/>
      <w:bookmarkStart w:id="204" w:name="_Toc531084285"/>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Pr>
          <w:b/>
          <w:bCs/>
          <w:sz w:val="28"/>
          <w:szCs w:val="28"/>
        </w:rPr>
        <w:t>F.2</w:t>
      </w:r>
      <w:r>
        <w:rPr>
          <w:b/>
          <w:bCs/>
          <w:sz w:val="28"/>
          <w:szCs w:val="28"/>
        </w:rPr>
        <w:tab/>
      </w:r>
      <w:r w:rsidR="00721F18" w:rsidRPr="00774C8C">
        <w:rPr>
          <w:b/>
          <w:bCs/>
          <w:sz w:val="28"/>
          <w:szCs w:val="28"/>
        </w:rPr>
        <w:t>Factors for Order Sequencing Decisions</w:t>
      </w:r>
      <w:bookmarkEnd w:id="204"/>
    </w:p>
    <w:p w14:paraId="570C49C7" w14:textId="0B14C2F3" w:rsidR="00532866" w:rsidRDefault="00DB1EB4" w:rsidP="00532866">
      <w:pPr>
        <w:pStyle w:val="Noblisbodytext"/>
      </w:pPr>
      <w:r>
        <w:t>O</w:t>
      </w:r>
      <w:r w:rsidRPr="00C81CC0">
        <w:t xml:space="preserve">rder sequencing </w:t>
      </w:r>
      <w:r>
        <w:t>is</w:t>
      </w:r>
      <w:r w:rsidRPr="00C81CC0">
        <w:t xml:space="preserve"> dependent on services </w:t>
      </w:r>
      <w:r>
        <w:t xml:space="preserve">contained in Task Order (TO) </w:t>
      </w:r>
      <w:r w:rsidRPr="00C81CC0">
        <w:t>awards.</w:t>
      </w:r>
      <w:r>
        <w:t xml:space="preserve"> </w:t>
      </w:r>
      <w:r w:rsidR="00532866" w:rsidRPr="00B40155">
        <w:t xml:space="preserve">Order </w:t>
      </w:r>
      <w:r w:rsidR="00532866">
        <w:t>s</w:t>
      </w:r>
      <w:r w:rsidR="00532866" w:rsidRPr="00B40155">
        <w:t xml:space="preserve">equencing should be </w:t>
      </w:r>
      <w:r w:rsidR="00532866">
        <w:t>determined</w:t>
      </w:r>
      <w:r w:rsidR="00532866" w:rsidRPr="00B40155">
        <w:t xml:space="preserve"> by the agency following discussions with th</w:t>
      </w:r>
      <w:r w:rsidR="00EC70B4">
        <w:t>ose</w:t>
      </w:r>
      <w:r w:rsidR="00532866" w:rsidRPr="00B40155">
        <w:t xml:space="preserve"> EIS </w:t>
      </w:r>
      <w:r w:rsidR="00532866">
        <w:t>c</w:t>
      </w:r>
      <w:r w:rsidR="00532866" w:rsidRPr="00B40155">
        <w:t xml:space="preserve">ontractor(s) awarded </w:t>
      </w:r>
      <w:r w:rsidR="00532866">
        <w:t xml:space="preserve">the </w:t>
      </w:r>
      <w:r w:rsidR="00EC70B4">
        <w:t>agency TOs; the approach must be customized</w:t>
      </w:r>
      <w:r w:rsidR="00532866" w:rsidRPr="00B40155">
        <w:t xml:space="preserve"> </w:t>
      </w:r>
      <w:r w:rsidR="00532866">
        <w:t xml:space="preserve">to meet that agency’s needs. </w:t>
      </w:r>
    </w:p>
    <w:p w14:paraId="56616F07" w14:textId="18FB98C1" w:rsidR="00721F18" w:rsidRDefault="00532866" w:rsidP="00721F18">
      <w:pPr>
        <w:pStyle w:val="Noblisbodytext"/>
      </w:pPr>
      <w:r>
        <w:t>Agencies are encouraged to start with the “big picture” before refining details to effectively sequence transition orders. C</w:t>
      </w:r>
      <w:r w:rsidR="009F22CE">
        <w:t xml:space="preserve">onsider </w:t>
      </w:r>
      <w:r w:rsidR="00721F18">
        <w:t>factors</w:t>
      </w:r>
      <w:r>
        <w:t>, such as</w:t>
      </w:r>
      <w:r w:rsidR="00902527">
        <w:t xml:space="preserve">:  </w:t>
      </w:r>
    </w:p>
    <w:p w14:paraId="12FB680D" w14:textId="5B25F29B" w:rsidR="00721F18" w:rsidRPr="00B40155" w:rsidRDefault="00532866" w:rsidP="000567A5">
      <w:pPr>
        <w:pStyle w:val="Noblisbodytext"/>
        <w:widowControl/>
        <w:numPr>
          <w:ilvl w:val="0"/>
          <w:numId w:val="58"/>
        </w:numPr>
        <w:autoSpaceDE/>
        <w:autoSpaceDN/>
        <w:adjustRightInd/>
      </w:pPr>
      <w:r>
        <w:t xml:space="preserve">Attributes of </w:t>
      </w:r>
      <w:r w:rsidR="00660B91">
        <w:t>Service</w:t>
      </w:r>
      <w:r>
        <w:t>s to Transition</w:t>
      </w:r>
      <w:r w:rsidR="00660B91">
        <w:t xml:space="preserve"> </w:t>
      </w:r>
      <w:r w:rsidR="002C6C09">
        <w:t xml:space="preserve">(Section </w:t>
      </w:r>
      <w:r>
        <w:t>2.1</w:t>
      </w:r>
      <w:r w:rsidR="002C6C09">
        <w:t>)</w:t>
      </w:r>
    </w:p>
    <w:p w14:paraId="4D4C6199" w14:textId="4AE07995" w:rsidR="00532866" w:rsidRPr="00B40155" w:rsidRDefault="00532866" w:rsidP="000567A5">
      <w:pPr>
        <w:pStyle w:val="Noblisbodytext"/>
        <w:widowControl/>
        <w:numPr>
          <w:ilvl w:val="0"/>
          <w:numId w:val="58"/>
        </w:numPr>
        <w:autoSpaceDE/>
        <w:autoSpaceDN/>
        <w:adjustRightInd/>
        <w:spacing w:before="120"/>
      </w:pPr>
      <w:r>
        <w:t>Inventory (Section 2.2)</w:t>
      </w:r>
    </w:p>
    <w:p w14:paraId="77AACC70" w14:textId="75BD2A86" w:rsidR="00721F18" w:rsidRPr="00B40155" w:rsidRDefault="00BF4F57" w:rsidP="000567A5">
      <w:pPr>
        <w:pStyle w:val="Noblisbodytext"/>
        <w:widowControl/>
        <w:numPr>
          <w:ilvl w:val="0"/>
          <w:numId w:val="58"/>
        </w:numPr>
        <w:autoSpaceDE/>
        <w:autoSpaceDN/>
        <w:adjustRightInd/>
        <w:spacing w:before="120"/>
      </w:pPr>
      <w:r>
        <w:t>Order Sequencing</w:t>
      </w:r>
      <w:r w:rsidR="00820CD3">
        <w:t xml:space="preserve"> Considerations</w:t>
      </w:r>
      <w:r w:rsidR="00721F18" w:rsidRPr="00B40155">
        <w:t xml:space="preserve"> (</w:t>
      </w:r>
      <w:r w:rsidR="009F22CE">
        <w:t>S</w:t>
      </w:r>
      <w:r w:rsidR="009F22CE" w:rsidRPr="00B40155">
        <w:t xml:space="preserve">ection </w:t>
      </w:r>
      <w:r w:rsidR="00532866">
        <w:t>2.3</w:t>
      </w:r>
      <w:r w:rsidR="00721F18" w:rsidRPr="00B40155">
        <w:t>)</w:t>
      </w:r>
      <w:r w:rsidR="000E785D">
        <w:t>.</w:t>
      </w:r>
      <w:r w:rsidR="00721F18" w:rsidRPr="00B40155">
        <w:t xml:space="preserve"> </w:t>
      </w:r>
    </w:p>
    <w:p w14:paraId="1FD76E10" w14:textId="2A96C088" w:rsidR="00721F18" w:rsidRPr="007505FE" w:rsidRDefault="00BE2AC6" w:rsidP="00774C8C">
      <w:pPr>
        <w:spacing w:before="240" w:after="60"/>
      </w:pPr>
      <w:bookmarkStart w:id="205" w:name="_Toc531084286"/>
      <w:r>
        <w:rPr>
          <w:b/>
          <w:bCs/>
          <w:i/>
          <w:iCs/>
        </w:rPr>
        <w:t>F.2.1</w:t>
      </w:r>
      <w:r>
        <w:rPr>
          <w:b/>
          <w:bCs/>
          <w:i/>
          <w:iCs/>
        </w:rPr>
        <w:tab/>
      </w:r>
      <w:r w:rsidR="00721F18" w:rsidRPr="00774C8C">
        <w:rPr>
          <w:b/>
          <w:bCs/>
          <w:i/>
          <w:iCs/>
        </w:rPr>
        <w:t>Attributes of Services to Transition</w:t>
      </w:r>
      <w:bookmarkEnd w:id="205"/>
    </w:p>
    <w:p w14:paraId="3A7D91EF" w14:textId="3BDCA19F" w:rsidR="00532866" w:rsidRDefault="00721F18" w:rsidP="00721F18">
      <w:pPr>
        <w:pStyle w:val="Noblisbodytext"/>
      </w:pPr>
      <w:r>
        <w:t xml:space="preserve">As an initial step for order sequencing, it is recommended that </w:t>
      </w:r>
      <w:r w:rsidR="00DE1A73">
        <w:t>agencies</w:t>
      </w:r>
      <w:r>
        <w:t xml:space="preserve"> take the time to evaluate each category of service they use against three major attributes: </w:t>
      </w:r>
    </w:p>
    <w:p w14:paraId="260E1AE5" w14:textId="77777777" w:rsidR="00532866" w:rsidRPr="00B40155" w:rsidRDefault="00532866" w:rsidP="000567A5">
      <w:pPr>
        <w:pStyle w:val="Noblisbodytext"/>
        <w:widowControl/>
        <w:numPr>
          <w:ilvl w:val="1"/>
          <w:numId w:val="73"/>
        </w:numPr>
        <w:autoSpaceDE/>
        <w:autoSpaceDN/>
        <w:adjustRightInd/>
        <w:spacing w:after="0"/>
        <w:rPr>
          <w:i/>
        </w:rPr>
      </w:pPr>
      <w:r w:rsidRPr="00B40155">
        <w:rPr>
          <w:i/>
        </w:rPr>
        <w:t>Mission Criticality</w:t>
      </w:r>
    </w:p>
    <w:p w14:paraId="062A8AFA" w14:textId="219C5084" w:rsidR="00532866" w:rsidRPr="00B40155" w:rsidRDefault="00532866" w:rsidP="000567A5">
      <w:pPr>
        <w:pStyle w:val="Noblisbodytext"/>
        <w:widowControl/>
        <w:numPr>
          <w:ilvl w:val="1"/>
          <w:numId w:val="73"/>
        </w:numPr>
        <w:autoSpaceDE/>
        <w:autoSpaceDN/>
        <w:adjustRightInd/>
        <w:spacing w:after="0"/>
        <w:rPr>
          <w:i/>
        </w:rPr>
      </w:pPr>
      <w:r w:rsidRPr="00B40155">
        <w:rPr>
          <w:i/>
        </w:rPr>
        <w:t>Technological</w:t>
      </w:r>
      <w:r w:rsidR="00DB1EB4">
        <w:rPr>
          <w:i/>
        </w:rPr>
        <w:t xml:space="preserve"> and </w:t>
      </w:r>
      <w:r w:rsidRPr="00B40155">
        <w:rPr>
          <w:i/>
        </w:rPr>
        <w:t>Implementation Complexity</w:t>
      </w:r>
    </w:p>
    <w:p w14:paraId="29224CBF" w14:textId="77777777" w:rsidR="00532866" w:rsidRPr="00B40155" w:rsidRDefault="00532866" w:rsidP="000567A5">
      <w:pPr>
        <w:pStyle w:val="Noblisbodytext"/>
        <w:widowControl/>
        <w:numPr>
          <w:ilvl w:val="1"/>
          <w:numId w:val="73"/>
        </w:numPr>
        <w:autoSpaceDE/>
        <w:autoSpaceDN/>
        <w:adjustRightInd/>
        <w:spacing w:after="0"/>
        <w:rPr>
          <w:i/>
        </w:rPr>
      </w:pPr>
      <w:r w:rsidRPr="00B40155">
        <w:rPr>
          <w:i/>
        </w:rPr>
        <w:t xml:space="preserve">Volume of Individual Services </w:t>
      </w:r>
    </w:p>
    <w:p w14:paraId="4F76AF95" w14:textId="786292E0" w:rsidR="00721F18" w:rsidRDefault="00721F18" w:rsidP="004817B1">
      <w:pPr>
        <w:pStyle w:val="Noblisbodytext"/>
        <w:spacing w:before="120"/>
      </w:pPr>
      <w:r>
        <w:t xml:space="preserve">By conducting this exercise, </w:t>
      </w:r>
      <w:r w:rsidR="00094EDB">
        <w:t>agencies</w:t>
      </w:r>
      <w:r>
        <w:t xml:space="preserve"> will gain an understanding of the entirety of their transition challenge, thus aiding in making </w:t>
      </w:r>
      <w:r w:rsidR="00DB1EB4">
        <w:t xml:space="preserve">decisions on </w:t>
      </w:r>
      <w:r>
        <w:t>order sequencing.</w:t>
      </w:r>
    </w:p>
    <w:p w14:paraId="173AD2CE" w14:textId="73541687" w:rsidR="00721F18" w:rsidRDefault="00094EDB" w:rsidP="00721F18">
      <w:pPr>
        <w:pStyle w:val="Noblisbodytext"/>
      </w:pPr>
      <w:r>
        <w:t xml:space="preserve">One way to visualize and organize a portfolio of services </w:t>
      </w:r>
      <w:r w:rsidR="00DB1EB4">
        <w:t xml:space="preserve">based on the attributes is </w:t>
      </w:r>
      <w:r>
        <w:t xml:space="preserve">through use of a bubble chart. </w:t>
      </w:r>
      <w:r w:rsidR="00DE1A73">
        <w:t>Figure 1</w:t>
      </w:r>
      <w:r w:rsidR="00721F18">
        <w:t xml:space="preserve"> </w:t>
      </w:r>
      <w:r>
        <w:t>provides an example</w:t>
      </w:r>
      <w:r w:rsidR="00721F18">
        <w:t xml:space="preserve"> of how an agency’s services might be portrayed</w:t>
      </w:r>
      <w:r>
        <w:t xml:space="preserve"> using this approach</w:t>
      </w:r>
      <w:r w:rsidR="00721F18">
        <w:t xml:space="preserve">. </w:t>
      </w:r>
      <w:r w:rsidR="00C85727">
        <w:t>T</w:t>
      </w:r>
      <w:r w:rsidR="00A36491">
        <w:t xml:space="preserve">o produce </w:t>
      </w:r>
      <w:r w:rsidR="00DB1EB4">
        <w:t>this chart</w:t>
      </w:r>
      <w:r w:rsidR="00A36491">
        <w:t xml:space="preserve"> will </w:t>
      </w:r>
      <w:r w:rsidR="00C85727">
        <w:t>require</w:t>
      </w:r>
      <w:r w:rsidR="00A36491">
        <w:t xml:space="preserve"> </w:t>
      </w:r>
      <w:r w:rsidR="00C85727">
        <w:t xml:space="preserve">a collaborative effort between </w:t>
      </w:r>
      <w:r w:rsidR="00DB1EB4">
        <w:t xml:space="preserve">subject matter experts from both the </w:t>
      </w:r>
      <w:r w:rsidR="00721F18">
        <w:t xml:space="preserve">agency and </w:t>
      </w:r>
      <w:r w:rsidR="00DB1EB4">
        <w:t xml:space="preserve">the </w:t>
      </w:r>
      <w:r w:rsidR="00721F18">
        <w:t>EIS contractor</w:t>
      </w:r>
      <w:r w:rsidR="00C85727">
        <w:t>.</w:t>
      </w:r>
    </w:p>
    <w:p w14:paraId="1E71BBCE" w14:textId="77777777" w:rsidR="00B80F60" w:rsidRDefault="00DB1EB4" w:rsidP="00B80F60">
      <w:pPr>
        <w:pStyle w:val="Noblisbodytext"/>
        <w:keepNext/>
      </w:pPr>
      <w:r>
        <w:rPr>
          <w:noProof/>
        </w:rPr>
        <w:lastRenderedPageBreak/>
        <mc:AlternateContent>
          <mc:Choice Requires="wps">
            <w:drawing>
              <wp:anchor distT="0" distB="0" distL="114300" distR="114300" simplePos="0" relativeHeight="251665408" behindDoc="0" locked="0" layoutInCell="1" allowOverlap="1" wp14:anchorId="42C1BFDB" wp14:editId="014D6A94">
                <wp:simplePos x="0" y="0"/>
                <wp:positionH relativeFrom="column">
                  <wp:posOffset>430650</wp:posOffset>
                </wp:positionH>
                <wp:positionV relativeFrom="paragraph">
                  <wp:posOffset>574012</wp:posOffset>
                </wp:positionV>
                <wp:extent cx="2374265" cy="1403985"/>
                <wp:effectExtent l="19050" t="247650" r="22860" b="257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918487">
                          <a:off x="0" y="0"/>
                          <a:ext cx="2374265" cy="1403985"/>
                        </a:xfrm>
                        <a:prstGeom prst="rect">
                          <a:avLst/>
                        </a:prstGeom>
                        <a:solidFill>
                          <a:srgbClr val="FFFFFF"/>
                        </a:solidFill>
                        <a:ln w="9525">
                          <a:solidFill>
                            <a:srgbClr val="000000"/>
                          </a:solidFill>
                          <a:miter lim="800000"/>
                          <a:headEnd/>
                          <a:tailEnd/>
                        </a:ln>
                      </wps:spPr>
                      <wps:txbx>
                        <w:txbxContent>
                          <w:p w14:paraId="2AA971C1" w14:textId="29FABB8E" w:rsidR="00E436C5" w:rsidRDefault="00E436C5">
                            <w:r>
                              <w:t>ILLUSTRATIVE EXAMPLE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2C1BFDB" id="Text Box 2" o:spid="_x0000_s1030" type="#_x0000_t202" style="position:absolute;left:0;text-align:left;margin-left:33.9pt;margin-top:45.2pt;width:186.95pt;height:110.55pt;rotation:-744394fd;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">
                <v:textbox style="mso-fit-shape-to-text:t">
                  <w:txbxContent>
                    <w:p w14:paraId="2AA971C1" w14:textId="29FABB8E" w:rsidR="00E436C5" w:rsidRDefault="00E436C5">
                      <w:r>
                        <w:t>ILLUSTRATIVE EXAMPLE</w:t>
                      </w:r>
                    </w:p>
                  </w:txbxContent>
                </v:textbox>
              </v:shape>
            </w:pict>
          </mc:Fallback>
        </mc:AlternateContent>
      </w:r>
      <w:r w:rsidR="008269B9">
        <w:rPr>
          <w:noProof/>
        </w:rPr>
        <w:drawing>
          <wp:inline distT="0" distB="0" distL="0" distR="0" wp14:anchorId="684A4312" wp14:editId="617C5FBE">
            <wp:extent cx="5919470" cy="4608830"/>
            <wp:effectExtent l="0" t="0" r="5080" b="1270"/>
            <wp:docPr id="11" name="Picture 11" descr="Illustrative example of bubble chart showing service type with bubble size indicating relative volume of service, placed according to Mission Criticality on horizontal axis and Technological/Implementation Complexity on vertical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llustrative example of bubble chart showing service type with bubble size indicating relative volume of service, placed according to Mission Criticality on horizontal axis and Technological/Implementation Complexity on vertical axi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19470" cy="4608830"/>
                    </a:xfrm>
                    <a:prstGeom prst="rect">
                      <a:avLst/>
                    </a:prstGeom>
                    <a:noFill/>
                  </pic:spPr>
                </pic:pic>
              </a:graphicData>
            </a:graphic>
          </wp:inline>
        </w:drawing>
      </w:r>
    </w:p>
    <w:p w14:paraId="3F77DAFD" w14:textId="1A5F0B83" w:rsidR="00721F18" w:rsidRPr="00774C8C" w:rsidRDefault="00B80F60" w:rsidP="00B80F60">
      <w:pPr>
        <w:pStyle w:val="Caption"/>
        <w:jc w:val="center"/>
        <w:rPr>
          <w:b w:val="0"/>
          <w:sz w:val="20"/>
        </w:rPr>
      </w:pPr>
      <w:bookmarkStart w:id="206" w:name="_Toc12019910"/>
      <w:r w:rsidRPr="00774C8C">
        <w:rPr>
          <w:b w:val="0"/>
          <w:sz w:val="20"/>
        </w:rPr>
        <w:t xml:space="preserve">Figure </w:t>
      </w:r>
      <w:r w:rsidR="00BE2AC6" w:rsidRPr="00774C8C">
        <w:rPr>
          <w:b w:val="0"/>
          <w:sz w:val="20"/>
        </w:rPr>
        <w:t>F</w:t>
      </w:r>
      <w:r w:rsidR="00DB1104">
        <w:rPr>
          <w:b w:val="0"/>
          <w:sz w:val="20"/>
        </w:rPr>
        <w:t>-</w:t>
      </w:r>
      <w:r w:rsidR="00BE2AC6" w:rsidRPr="00774C8C">
        <w:rPr>
          <w:b w:val="0"/>
          <w:sz w:val="20"/>
        </w:rPr>
        <w:t>1</w:t>
      </w:r>
      <w:r w:rsidR="003C6FC8" w:rsidRPr="00774C8C">
        <w:rPr>
          <w:b w:val="0"/>
          <w:sz w:val="20"/>
        </w:rPr>
        <w:t>.</w:t>
      </w:r>
      <w:r w:rsidRPr="00774C8C">
        <w:rPr>
          <w:b w:val="0"/>
          <w:sz w:val="20"/>
        </w:rPr>
        <w:t xml:space="preserve"> </w:t>
      </w:r>
      <w:r w:rsidRPr="00774C8C">
        <w:rPr>
          <w:b w:val="0"/>
          <w:i/>
          <w:sz w:val="20"/>
        </w:rPr>
        <w:t>Example Bubble Chart</w:t>
      </w:r>
      <w:bookmarkEnd w:id="206"/>
    </w:p>
    <w:p w14:paraId="1A726B31" w14:textId="77777777" w:rsidR="005C4834" w:rsidRDefault="005C4834" w:rsidP="005C4834">
      <w:pPr>
        <w:pStyle w:val="Noblistablebullet2"/>
        <w:numPr>
          <w:ilvl w:val="0"/>
          <w:numId w:val="0"/>
        </w:numPr>
        <w:ind w:left="576"/>
        <w:jc w:val="center"/>
      </w:pPr>
    </w:p>
    <w:p w14:paraId="3D5F42E1" w14:textId="77777777" w:rsidR="008269B9" w:rsidRDefault="008269B9" w:rsidP="00AD6F8C">
      <w:r>
        <w:t>Agencies are encouraged to create such a portfolio management view for their own use.  The value of this exercise is that it:</w:t>
      </w:r>
    </w:p>
    <w:p w14:paraId="0A958643" w14:textId="17A9000B" w:rsidR="008269B9" w:rsidRDefault="00AD6F8C" w:rsidP="000567A5">
      <w:pPr>
        <w:pStyle w:val="Noblisbodytext"/>
        <w:widowControl/>
        <w:numPr>
          <w:ilvl w:val="0"/>
          <w:numId w:val="58"/>
        </w:numPr>
        <w:autoSpaceDE/>
        <w:autoSpaceDN/>
        <w:adjustRightInd/>
        <w:spacing w:before="120"/>
      </w:pPr>
      <w:r>
        <w:t xml:space="preserve">Forces </w:t>
      </w:r>
      <w:r w:rsidR="008269B9">
        <w:t>the agency and its contractor(s) to consider all the attributes</w:t>
      </w:r>
      <w:r w:rsidR="00532866">
        <w:t>; and</w:t>
      </w:r>
    </w:p>
    <w:p w14:paraId="48FE9623" w14:textId="69A983B6" w:rsidR="005C4834" w:rsidRDefault="00AD6F8C" w:rsidP="000567A5">
      <w:pPr>
        <w:pStyle w:val="Noblisbodytext"/>
        <w:widowControl/>
        <w:numPr>
          <w:ilvl w:val="0"/>
          <w:numId w:val="58"/>
        </w:numPr>
        <w:autoSpaceDE/>
        <w:autoSpaceDN/>
        <w:adjustRightInd/>
        <w:spacing w:before="120"/>
      </w:pPr>
      <w:r>
        <w:t xml:space="preserve">Can </w:t>
      </w:r>
      <w:r w:rsidR="008269B9">
        <w:t>serve as a means to communicate to senior agency officials the basis by which sequencing decisions have been made.</w:t>
      </w:r>
    </w:p>
    <w:p w14:paraId="60C633C9" w14:textId="7C0CB6E0" w:rsidR="00532866" w:rsidRPr="007505FE" w:rsidRDefault="00BE2AC6" w:rsidP="00774C8C">
      <w:pPr>
        <w:spacing w:before="240" w:after="60"/>
      </w:pPr>
      <w:r>
        <w:rPr>
          <w:b/>
          <w:bCs/>
          <w:i/>
          <w:iCs/>
        </w:rPr>
        <w:t>F.2.2</w:t>
      </w:r>
      <w:r>
        <w:rPr>
          <w:b/>
          <w:bCs/>
          <w:i/>
          <w:iCs/>
        </w:rPr>
        <w:tab/>
      </w:r>
      <w:r w:rsidR="00532866" w:rsidRPr="00774C8C">
        <w:rPr>
          <w:b/>
          <w:bCs/>
          <w:i/>
          <w:iCs/>
        </w:rPr>
        <w:t>Inventory</w:t>
      </w:r>
    </w:p>
    <w:p w14:paraId="1A86FED3" w14:textId="45D5D44D" w:rsidR="00532866" w:rsidRPr="008C24A0" w:rsidRDefault="00532866" w:rsidP="00D92AB7">
      <w:r w:rsidRPr="00532866">
        <w:t>Agencies must ensure that all services in their expiring contracts inventory are covered in transition project plans. Keep in mind, there is no set formula that applies to all agencies.</w:t>
      </w:r>
    </w:p>
    <w:p w14:paraId="2B145EF6" w14:textId="331DD4F7" w:rsidR="008269B9" w:rsidRPr="007505FE" w:rsidRDefault="00BE2AC6" w:rsidP="00774C8C">
      <w:pPr>
        <w:spacing w:before="240" w:after="60"/>
      </w:pPr>
      <w:r>
        <w:rPr>
          <w:b/>
          <w:bCs/>
          <w:i/>
          <w:iCs/>
        </w:rPr>
        <w:t>F.2.3</w:t>
      </w:r>
      <w:r>
        <w:rPr>
          <w:b/>
          <w:bCs/>
          <w:i/>
          <w:iCs/>
        </w:rPr>
        <w:tab/>
      </w:r>
      <w:r w:rsidR="00BF4F57" w:rsidRPr="00774C8C">
        <w:rPr>
          <w:b/>
          <w:bCs/>
          <w:i/>
          <w:iCs/>
        </w:rPr>
        <w:t>Order Sequencing</w:t>
      </w:r>
      <w:r w:rsidR="00820CD3" w:rsidRPr="00774C8C">
        <w:rPr>
          <w:b/>
          <w:bCs/>
          <w:i/>
          <w:iCs/>
        </w:rPr>
        <w:t xml:space="preserve"> Considerations</w:t>
      </w:r>
    </w:p>
    <w:p w14:paraId="478BD351" w14:textId="1C3E988F" w:rsidR="008269B9" w:rsidRDefault="000274D8" w:rsidP="00BF4FAB">
      <w:r>
        <w:t xml:space="preserve">Table 1 provides a list of </w:t>
      </w:r>
      <w:r w:rsidR="00BF4F57">
        <w:t>order sequencing</w:t>
      </w:r>
      <w:r>
        <w:t xml:space="preserve"> considerations that </w:t>
      </w:r>
      <w:r w:rsidR="00BF4F57">
        <w:t xml:space="preserve">should be reviewed and prioritized by the agencies and EIS contractors to drive final </w:t>
      </w:r>
      <w:r w:rsidR="00DB1EB4">
        <w:t xml:space="preserve">decisions on </w:t>
      </w:r>
      <w:r w:rsidR="00BF4F57">
        <w:t xml:space="preserve">sequencing. </w:t>
      </w:r>
    </w:p>
    <w:p w14:paraId="4843E254" w14:textId="77777777" w:rsidR="00BF4F57" w:rsidRPr="00B40155" w:rsidRDefault="00BF4F57" w:rsidP="00AD6F8C"/>
    <w:p w14:paraId="522C0A7A" w14:textId="080E0CFC" w:rsidR="00177AF7" w:rsidRDefault="008269B9" w:rsidP="00D92AB7">
      <w:r w:rsidRPr="00B40155">
        <w:rPr>
          <w:b/>
          <w:i/>
        </w:rPr>
        <w:t>Note:</w:t>
      </w:r>
      <w:r w:rsidRPr="00B40155">
        <w:t xml:space="preserve"> This list has been organized in alphabetical order. </w:t>
      </w:r>
    </w:p>
    <w:p w14:paraId="710A5019" w14:textId="59754777" w:rsidR="00B80F60" w:rsidRPr="00774C8C" w:rsidRDefault="00B80F60" w:rsidP="00B80F60">
      <w:pPr>
        <w:pStyle w:val="Caption"/>
        <w:keepNext/>
        <w:jc w:val="center"/>
        <w:rPr>
          <w:b w:val="0"/>
          <w:sz w:val="20"/>
        </w:rPr>
      </w:pPr>
      <w:r w:rsidRPr="00774C8C">
        <w:rPr>
          <w:b w:val="0"/>
          <w:sz w:val="20"/>
        </w:rPr>
        <w:lastRenderedPageBreak/>
        <w:t>Table</w:t>
      </w:r>
      <w:r w:rsidR="00BE2AC6" w:rsidRPr="00774C8C">
        <w:rPr>
          <w:b w:val="0"/>
          <w:sz w:val="20"/>
        </w:rPr>
        <w:t xml:space="preserve"> F</w:t>
      </w:r>
      <w:r w:rsidR="00DB1104">
        <w:rPr>
          <w:b w:val="0"/>
          <w:sz w:val="20"/>
        </w:rPr>
        <w:t>-</w:t>
      </w:r>
      <w:r w:rsidR="00BE2AC6" w:rsidRPr="00774C8C">
        <w:rPr>
          <w:b w:val="0"/>
          <w:sz w:val="20"/>
        </w:rPr>
        <w:t>1</w:t>
      </w:r>
      <w:r w:rsidR="003C6FC8" w:rsidRPr="00774C8C">
        <w:rPr>
          <w:b w:val="0"/>
          <w:sz w:val="20"/>
        </w:rPr>
        <w:t>.</w:t>
      </w:r>
      <w:r w:rsidRPr="00774C8C">
        <w:rPr>
          <w:b w:val="0"/>
          <w:sz w:val="20"/>
        </w:rPr>
        <w:t xml:space="preserve"> </w:t>
      </w:r>
      <w:r w:rsidRPr="00774C8C">
        <w:rPr>
          <w:b w:val="0"/>
          <w:i/>
          <w:sz w:val="20"/>
        </w:rPr>
        <w:t>Order Sequencing Considerations</w:t>
      </w:r>
    </w:p>
    <w:tbl>
      <w:tblPr>
        <w:tblStyle w:val="GridTable4-Accent11"/>
        <w:tblW w:w="0" w:type="auto"/>
        <w:tblLook w:val="04A0" w:firstRow="1" w:lastRow="0" w:firstColumn="1" w:lastColumn="0" w:noHBand="0" w:noVBand="1"/>
      </w:tblPr>
      <w:tblGrid>
        <w:gridCol w:w="3235"/>
        <w:gridCol w:w="6115"/>
      </w:tblGrid>
      <w:tr w:rsidR="00721F18" w14:paraId="47CC4011" w14:textId="77777777" w:rsidTr="00AD6F8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35" w:type="dxa"/>
          </w:tcPr>
          <w:p w14:paraId="1413FF08" w14:textId="77777777" w:rsidR="00721F18" w:rsidRDefault="00721F18" w:rsidP="00E06E16">
            <w:pPr>
              <w:spacing w:before="60" w:after="60"/>
              <w:jc w:val="center"/>
              <w:rPr>
                <w:sz w:val="22"/>
                <w:szCs w:val="22"/>
              </w:rPr>
            </w:pPr>
            <w:bookmarkStart w:id="207" w:name="_Toc449010851"/>
            <w:bookmarkStart w:id="208" w:name="_Toc449010862"/>
            <w:bookmarkStart w:id="209" w:name="_Toc449010866"/>
            <w:bookmarkStart w:id="210" w:name="_The_Change_Control"/>
            <w:bookmarkEnd w:id="207"/>
            <w:bookmarkEnd w:id="208"/>
            <w:bookmarkEnd w:id="209"/>
            <w:bookmarkEnd w:id="210"/>
            <w:r>
              <w:rPr>
                <w:sz w:val="22"/>
                <w:szCs w:val="22"/>
              </w:rPr>
              <w:t>Considerations</w:t>
            </w:r>
          </w:p>
        </w:tc>
        <w:tc>
          <w:tcPr>
            <w:tcW w:w="6115" w:type="dxa"/>
          </w:tcPr>
          <w:p w14:paraId="5E2B8CFA" w14:textId="77777777" w:rsidR="00721F18" w:rsidRDefault="00721F18" w:rsidP="00E06E16">
            <w:pPr>
              <w:spacing w:before="60" w:after="60"/>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Notes</w:t>
            </w:r>
          </w:p>
        </w:tc>
      </w:tr>
      <w:tr w:rsidR="00721F18" w:rsidRPr="00B12C4F" w14:paraId="518E476B" w14:textId="77777777" w:rsidTr="00AD6F8C">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3235" w:type="dxa"/>
            <w:hideMark/>
          </w:tcPr>
          <w:p w14:paraId="01C29F93" w14:textId="77777777" w:rsidR="00721F18" w:rsidRPr="00B12C4F" w:rsidRDefault="00721F18" w:rsidP="00721F18">
            <w:pPr>
              <w:spacing w:line="284" w:lineRule="exact"/>
              <w:rPr>
                <w:b w:val="0"/>
                <w:sz w:val="22"/>
                <w:szCs w:val="22"/>
              </w:rPr>
            </w:pPr>
            <w:r w:rsidRPr="00B12C4F">
              <w:rPr>
                <w:b w:val="0"/>
                <w:color w:val="000000" w:themeColor="text1"/>
                <w:kern w:val="24"/>
                <w:sz w:val="22"/>
                <w:szCs w:val="22"/>
              </w:rPr>
              <w:t>Agency Priorities</w:t>
            </w:r>
          </w:p>
        </w:tc>
        <w:tc>
          <w:tcPr>
            <w:tcW w:w="6115" w:type="dxa"/>
            <w:hideMark/>
          </w:tcPr>
          <w:p w14:paraId="22708440" w14:textId="1DE2C3F8" w:rsidR="00721F18" w:rsidRPr="00B12C4F" w:rsidRDefault="00721F18" w:rsidP="00721F18">
            <w:pPr>
              <w:spacing w:line="284" w:lineRule="exact"/>
              <w:cnfStyle w:val="000000100000" w:firstRow="0" w:lastRow="0" w:firstColumn="0" w:lastColumn="0" w:oddVBand="0" w:evenVBand="0" w:oddHBand="1" w:evenHBand="0" w:firstRowFirstColumn="0" w:firstRowLastColumn="0" w:lastRowFirstColumn="0" w:lastRowLastColumn="0"/>
              <w:rPr>
                <w:sz w:val="22"/>
                <w:szCs w:val="22"/>
              </w:rPr>
            </w:pPr>
            <w:r w:rsidRPr="00B12C4F">
              <w:rPr>
                <w:bCs/>
                <w:color w:val="000000" w:themeColor="text1"/>
                <w:kern w:val="24"/>
                <w:sz w:val="22"/>
                <w:szCs w:val="22"/>
              </w:rPr>
              <w:t xml:space="preserve">Mission critical factors should receive the highest priority.  Examples </w:t>
            </w:r>
            <w:r w:rsidR="00803BBD" w:rsidRPr="00B12C4F">
              <w:rPr>
                <w:bCs/>
                <w:color w:val="000000" w:themeColor="text1"/>
                <w:kern w:val="24"/>
                <w:sz w:val="22"/>
                <w:szCs w:val="22"/>
              </w:rPr>
              <w:t>include</w:t>
            </w:r>
            <w:r w:rsidRPr="00B12C4F">
              <w:rPr>
                <w:bCs/>
                <w:color w:val="000000" w:themeColor="text1"/>
                <w:kern w:val="24"/>
                <w:sz w:val="22"/>
                <w:szCs w:val="22"/>
              </w:rPr>
              <w:t xml:space="preserve"> locations immediately needing extra bandwidth, security issues awaiting action, implementation of new applications or services.</w:t>
            </w:r>
          </w:p>
        </w:tc>
      </w:tr>
      <w:tr w:rsidR="00721F18" w:rsidRPr="00B12C4F" w14:paraId="37491930" w14:textId="77777777" w:rsidTr="00AD6F8C">
        <w:trPr>
          <w:trHeight w:val="584"/>
        </w:trPr>
        <w:tc>
          <w:tcPr>
            <w:cnfStyle w:val="001000000000" w:firstRow="0" w:lastRow="0" w:firstColumn="1" w:lastColumn="0" w:oddVBand="0" w:evenVBand="0" w:oddHBand="0" w:evenHBand="0" w:firstRowFirstColumn="0" w:firstRowLastColumn="0" w:lastRowFirstColumn="0" w:lastRowLastColumn="0"/>
            <w:tcW w:w="3235" w:type="dxa"/>
            <w:hideMark/>
          </w:tcPr>
          <w:p w14:paraId="5A56BF3E" w14:textId="3A273FF5" w:rsidR="00721F18" w:rsidRPr="00B12C4F" w:rsidRDefault="00721F18" w:rsidP="00A93307">
            <w:pPr>
              <w:spacing w:line="284" w:lineRule="exact"/>
              <w:rPr>
                <w:b w:val="0"/>
                <w:sz w:val="22"/>
                <w:szCs w:val="22"/>
              </w:rPr>
            </w:pPr>
            <w:r w:rsidRPr="00B12C4F">
              <w:rPr>
                <w:b w:val="0"/>
                <w:color w:val="000000" w:themeColor="text1"/>
                <w:kern w:val="24"/>
                <w:sz w:val="22"/>
                <w:szCs w:val="22"/>
              </w:rPr>
              <w:t xml:space="preserve">Buildings with </w:t>
            </w:r>
            <w:r w:rsidR="00DB1EB4">
              <w:rPr>
                <w:b w:val="0"/>
                <w:color w:val="000000" w:themeColor="text1"/>
                <w:kern w:val="24"/>
                <w:sz w:val="22"/>
                <w:szCs w:val="22"/>
              </w:rPr>
              <w:t>N</w:t>
            </w:r>
            <w:r w:rsidR="00DB1EB4" w:rsidRPr="00B12C4F">
              <w:rPr>
                <w:b w:val="0"/>
                <w:color w:val="000000" w:themeColor="text1"/>
                <w:kern w:val="24"/>
                <w:sz w:val="22"/>
                <w:szCs w:val="22"/>
              </w:rPr>
              <w:t xml:space="preserve">o </w:t>
            </w:r>
            <w:r w:rsidR="00DB1EB4">
              <w:rPr>
                <w:b w:val="0"/>
                <w:color w:val="000000" w:themeColor="text1"/>
                <w:kern w:val="24"/>
                <w:sz w:val="22"/>
                <w:szCs w:val="22"/>
              </w:rPr>
              <w:t>C</w:t>
            </w:r>
            <w:r w:rsidR="00DB1EB4" w:rsidRPr="00B12C4F">
              <w:rPr>
                <w:b w:val="0"/>
                <w:color w:val="000000" w:themeColor="text1"/>
                <w:kern w:val="24"/>
                <w:sz w:val="22"/>
                <w:szCs w:val="22"/>
              </w:rPr>
              <w:t xml:space="preserve">urrent </w:t>
            </w:r>
            <w:r w:rsidR="00DB1EB4">
              <w:rPr>
                <w:b w:val="0"/>
                <w:color w:val="000000" w:themeColor="text1"/>
                <w:kern w:val="24"/>
                <w:sz w:val="22"/>
                <w:szCs w:val="22"/>
              </w:rPr>
              <w:t>S</w:t>
            </w:r>
            <w:r w:rsidR="00DB1EB4" w:rsidRPr="00B12C4F">
              <w:rPr>
                <w:b w:val="0"/>
                <w:color w:val="000000" w:themeColor="text1"/>
                <w:kern w:val="24"/>
                <w:sz w:val="22"/>
                <w:szCs w:val="22"/>
              </w:rPr>
              <w:t xml:space="preserve">ervices </w:t>
            </w:r>
            <w:r w:rsidRPr="00B12C4F">
              <w:rPr>
                <w:b w:val="0"/>
                <w:color w:val="000000" w:themeColor="text1"/>
                <w:kern w:val="24"/>
                <w:sz w:val="22"/>
                <w:szCs w:val="22"/>
              </w:rPr>
              <w:t>(no transition—new install)</w:t>
            </w:r>
          </w:p>
        </w:tc>
        <w:tc>
          <w:tcPr>
            <w:tcW w:w="6115" w:type="dxa"/>
            <w:hideMark/>
          </w:tcPr>
          <w:p w14:paraId="4CF39287" w14:textId="77777777" w:rsidR="00721F18" w:rsidRPr="00B12C4F" w:rsidRDefault="00721F18" w:rsidP="00721F18">
            <w:pPr>
              <w:spacing w:line="284" w:lineRule="exact"/>
              <w:cnfStyle w:val="000000000000" w:firstRow="0" w:lastRow="0" w:firstColumn="0" w:lastColumn="0" w:oddVBand="0" w:evenVBand="0" w:oddHBand="0" w:evenHBand="0" w:firstRowFirstColumn="0" w:firstRowLastColumn="0" w:lastRowFirstColumn="0" w:lastRowLastColumn="0"/>
              <w:rPr>
                <w:sz w:val="22"/>
                <w:szCs w:val="22"/>
              </w:rPr>
            </w:pPr>
            <w:r w:rsidRPr="00B12C4F">
              <w:rPr>
                <w:color w:val="000000" w:themeColor="text1"/>
                <w:kern w:val="24"/>
                <w:sz w:val="22"/>
                <w:szCs w:val="22"/>
              </w:rPr>
              <w:t>Agencies with this situation will likely have to include these buildings/locations in their sequencing of orders based on occupancy target dates.</w:t>
            </w:r>
          </w:p>
        </w:tc>
      </w:tr>
      <w:tr w:rsidR="00721F18" w:rsidRPr="00B12C4F" w14:paraId="1C59969B" w14:textId="77777777" w:rsidTr="00AD6F8C">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3235" w:type="dxa"/>
            <w:hideMark/>
          </w:tcPr>
          <w:p w14:paraId="0A581F9B" w14:textId="3195F899" w:rsidR="00721F18" w:rsidRPr="00B12C4F" w:rsidRDefault="00721F18" w:rsidP="00A93307">
            <w:pPr>
              <w:spacing w:line="284" w:lineRule="exact"/>
              <w:rPr>
                <w:b w:val="0"/>
                <w:sz w:val="22"/>
                <w:szCs w:val="22"/>
              </w:rPr>
            </w:pPr>
            <w:r w:rsidRPr="00B12C4F">
              <w:rPr>
                <w:b w:val="0"/>
                <w:color w:val="000000" w:themeColor="text1"/>
                <w:kern w:val="24"/>
                <w:sz w:val="22"/>
                <w:szCs w:val="22"/>
              </w:rPr>
              <w:t xml:space="preserve">Complex Services </w:t>
            </w:r>
          </w:p>
        </w:tc>
        <w:tc>
          <w:tcPr>
            <w:tcW w:w="6115" w:type="dxa"/>
            <w:hideMark/>
          </w:tcPr>
          <w:p w14:paraId="71C136A0" w14:textId="52B0C196" w:rsidR="00721F18" w:rsidRPr="00B12C4F" w:rsidRDefault="00C2493D" w:rsidP="00B047F0">
            <w:pPr>
              <w:spacing w:line="284" w:lineRule="exact"/>
              <w:cnfStyle w:val="000000100000" w:firstRow="0" w:lastRow="0" w:firstColumn="0" w:lastColumn="0" w:oddVBand="0" w:evenVBand="0" w:oddHBand="1" w:evenHBand="0" w:firstRowFirstColumn="0" w:firstRowLastColumn="0" w:lastRowFirstColumn="0" w:lastRowLastColumn="0"/>
              <w:rPr>
                <w:sz w:val="22"/>
                <w:szCs w:val="22"/>
              </w:rPr>
            </w:pPr>
            <w:r>
              <w:rPr>
                <w:color w:val="000000" w:themeColor="text1"/>
                <w:kern w:val="24"/>
                <w:sz w:val="22"/>
                <w:szCs w:val="22"/>
              </w:rPr>
              <w:t>While other services are transitioned more quickly, a</w:t>
            </w:r>
            <w:r w:rsidR="00721F18" w:rsidRPr="00B12C4F">
              <w:rPr>
                <w:color w:val="000000" w:themeColor="text1"/>
                <w:kern w:val="24"/>
                <w:sz w:val="22"/>
                <w:szCs w:val="22"/>
              </w:rPr>
              <w:t>gencies</w:t>
            </w:r>
            <w:r>
              <w:rPr>
                <w:color w:val="000000" w:themeColor="text1"/>
                <w:kern w:val="24"/>
                <w:sz w:val="22"/>
                <w:szCs w:val="22"/>
              </w:rPr>
              <w:t xml:space="preserve"> </w:t>
            </w:r>
            <w:r w:rsidR="00721F18" w:rsidRPr="00B12C4F">
              <w:rPr>
                <w:color w:val="000000" w:themeColor="text1"/>
                <w:kern w:val="24"/>
                <w:sz w:val="22"/>
                <w:szCs w:val="22"/>
              </w:rPr>
              <w:t xml:space="preserve">should consider establishing </w:t>
            </w:r>
            <w:r>
              <w:rPr>
                <w:color w:val="000000" w:themeColor="text1"/>
                <w:kern w:val="24"/>
                <w:sz w:val="22"/>
                <w:szCs w:val="22"/>
              </w:rPr>
              <w:t>parallel project teams t</w:t>
            </w:r>
            <w:r w:rsidRPr="000B0C45">
              <w:rPr>
                <w:color w:val="000000" w:themeColor="text1"/>
                <w:kern w:val="24"/>
                <w:sz w:val="22"/>
                <w:szCs w:val="22"/>
              </w:rPr>
              <w:t>o ensure complex services are addressed early in the transition</w:t>
            </w:r>
            <w:r w:rsidR="00721F18" w:rsidRPr="00A93307">
              <w:rPr>
                <w:color w:val="000000" w:themeColor="text1"/>
                <w:kern w:val="24"/>
                <w:sz w:val="22"/>
                <w:szCs w:val="22"/>
              </w:rPr>
              <w:t>.  Examples</w:t>
            </w:r>
            <w:r w:rsidR="00B415BC" w:rsidRPr="00A93307">
              <w:rPr>
                <w:color w:val="000000" w:themeColor="text1"/>
                <w:kern w:val="24"/>
                <w:sz w:val="22"/>
                <w:szCs w:val="22"/>
              </w:rPr>
              <w:t xml:space="preserve"> include:</w:t>
            </w:r>
            <w:r w:rsidR="00721F18" w:rsidRPr="00A93307">
              <w:rPr>
                <w:color w:val="000000" w:themeColor="text1"/>
                <w:kern w:val="24"/>
                <w:sz w:val="22"/>
                <w:szCs w:val="22"/>
              </w:rPr>
              <w:t xml:space="preserve"> </w:t>
            </w:r>
            <w:r w:rsidR="00B047F0">
              <w:rPr>
                <w:color w:val="000000" w:themeColor="text1"/>
                <w:kern w:val="24"/>
                <w:sz w:val="22"/>
                <w:szCs w:val="22"/>
              </w:rPr>
              <w:t>Cybersecurity</w:t>
            </w:r>
            <w:r w:rsidR="00721F18" w:rsidRPr="00A93307">
              <w:rPr>
                <w:color w:val="000000" w:themeColor="text1"/>
                <w:kern w:val="24"/>
                <w:sz w:val="22"/>
                <w:szCs w:val="22"/>
              </w:rPr>
              <w:t xml:space="preserve"> Team, Call Center Team, </w:t>
            </w:r>
            <w:r w:rsidR="008332E2" w:rsidRPr="00A93307">
              <w:rPr>
                <w:color w:val="000000" w:themeColor="text1"/>
                <w:kern w:val="24"/>
                <w:sz w:val="22"/>
                <w:szCs w:val="22"/>
              </w:rPr>
              <w:t>and Da</w:t>
            </w:r>
            <w:r w:rsidR="008332E2" w:rsidRPr="00B12C4F">
              <w:rPr>
                <w:color w:val="000000" w:themeColor="text1"/>
                <w:kern w:val="24"/>
                <w:sz w:val="22"/>
                <w:szCs w:val="22"/>
              </w:rPr>
              <w:t>ta</w:t>
            </w:r>
            <w:r w:rsidR="00721F18" w:rsidRPr="00B12C4F">
              <w:rPr>
                <w:color w:val="000000" w:themeColor="text1"/>
                <w:kern w:val="24"/>
                <w:sz w:val="22"/>
                <w:szCs w:val="22"/>
              </w:rPr>
              <w:t xml:space="preserve"> Network Team</w:t>
            </w:r>
            <w:r w:rsidR="00B415BC">
              <w:rPr>
                <w:color w:val="000000" w:themeColor="text1"/>
                <w:kern w:val="24"/>
                <w:sz w:val="22"/>
                <w:szCs w:val="22"/>
              </w:rPr>
              <w:t>.</w:t>
            </w:r>
          </w:p>
        </w:tc>
      </w:tr>
      <w:tr w:rsidR="00721F18" w:rsidRPr="0088067E" w14:paraId="144FA095" w14:textId="77777777" w:rsidTr="00AD6F8C">
        <w:trPr>
          <w:trHeight w:val="584"/>
        </w:trPr>
        <w:tc>
          <w:tcPr>
            <w:cnfStyle w:val="001000000000" w:firstRow="0" w:lastRow="0" w:firstColumn="1" w:lastColumn="0" w:oddVBand="0" w:evenVBand="0" w:oddHBand="0" w:evenHBand="0" w:firstRowFirstColumn="0" w:firstRowLastColumn="0" w:lastRowFirstColumn="0" w:lastRowLastColumn="0"/>
            <w:tcW w:w="3235" w:type="dxa"/>
            <w:hideMark/>
          </w:tcPr>
          <w:p w14:paraId="33F3832A" w14:textId="77777777" w:rsidR="00721F18" w:rsidRPr="0088067E" w:rsidRDefault="00721F18" w:rsidP="00721F18">
            <w:pPr>
              <w:spacing w:line="284" w:lineRule="exact"/>
              <w:rPr>
                <w:b w:val="0"/>
                <w:sz w:val="22"/>
                <w:szCs w:val="22"/>
              </w:rPr>
            </w:pPr>
            <w:r w:rsidRPr="0088067E">
              <w:rPr>
                <w:b w:val="0"/>
                <w:color w:val="000000" w:themeColor="text1"/>
                <w:kern w:val="24"/>
                <w:sz w:val="22"/>
                <w:szCs w:val="22"/>
              </w:rPr>
              <w:t>Coordinated Site Visits</w:t>
            </w:r>
          </w:p>
        </w:tc>
        <w:tc>
          <w:tcPr>
            <w:tcW w:w="6115" w:type="dxa"/>
            <w:hideMark/>
          </w:tcPr>
          <w:p w14:paraId="1FFBA758" w14:textId="068ED62E" w:rsidR="00721F18" w:rsidRPr="0088067E" w:rsidRDefault="00721F18" w:rsidP="00A93307">
            <w:pPr>
              <w:spacing w:line="284" w:lineRule="exact"/>
              <w:cnfStyle w:val="000000000000" w:firstRow="0" w:lastRow="0" w:firstColumn="0" w:lastColumn="0" w:oddVBand="0" w:evenVBand="0" w:oddHBand="0" w:evenHBand="0" w:firstRowFirstColumn="0" w:firstRowLastColumn="0" w:lastRowFirstColumn="0" w:lastRowLastColumn="0"/>
              <w:rPr>
                <w:sz w:val="22"/>
                <w:szCs w:val="22"/>
              </w:rPr>
            </w:pPr>
            <w:r w:rsidRPr="0088067E">
              <w:rPr>
                <w:color w:val="000000" w:themeColor="text1"/>
                <w:kern w:val="24"/>
                <w:sz w:val="22"/>
                <w:szCs w:val="22"/>
              </w:rPr>
              <w:t xml:space="preserve">When sequencing orders, agencies should make every attempt </w:t>
            </w:r>
            <w:r w:rsidR="00C2493D">
              <w:rPr>
                <w:color w:val="000000" w:themeColor="text1"/>
                <w:kern w:val="24"/>
                <w:sz w:val="22"/>
                <w:szCs w:val="22"/>
              </w:rPr>
              <w:t>to</w:t>
            </w:r>
            <w:r w:rsidR="00C2493D" w:rsidRPr="0088067E">
              <w:rPr>
                <w:color w:val="000000" w:themeColor="text1"/>
                <w:kern w:val="24"/>
                <w:sz w:val="22"/>
                <w:szCs w:val="22"/>
              </w:rPr>
              <w:t xml:space="preserve"> </w:t>
            </w:r>
            <w:r w:rsidR="00C2493D">
              <w:rPr>
                <w:color w:val="000000" w:themeColor="text1"/>
                <w:kern w:val="24"/>
                <w:sz w:val="22"/>
                <w:szCs w:val="22"/>
              </w:rPr>
              <w:t xml:space="preserve">coordinate </w:t>
            </w:r>
            <w:r w:rsidRPr="0088067E">
              <w:rPr>
                <w:color w:val="000000" w:themeColor="text1"/>
                <w:kern w:val="24"/>
                <w:sz w:val="22"/>
                <w:szCs w:val="22"/>
              </w:rPr>
              <w:t>schedul</w:t>
            </w:r>
            <w:r w:rsidR="00C2493D">
              <w:rPr>
                <w:color w:val="000000" w:themeColor="text1"/>
                <w:kern w:val="24"/>
                <w:sz w:val="22"/>
                <w:szCs w:val="22"/>
              </w:rPr>
              <w:t>es for site visits</w:t>
            </w:r>
            <w:r w:rsidRPr="0088067E">
              <w:rPr>
                <w:color w:val="000000" w:themeColor="text1"/>
                <w:kern w:val="24"/>
                <w:sz w:val="22"/>
                <w:szCs w:val="22"/>
              </w:rPr>
              <w:t xml:space="preserve"> to make efficient use of their site resources.</w:t>
            </w:r>
          </w:p>
        </w:tc>
      </w:tr>
      <w:tr w:rsidR="00721F18" w:rsidRPr="0088067E" w14:paraId="411DE4E5" w14:textId="77777777" w:rsidTr="00AD6F8C">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3235" w:type="dxa"/>
            <w:hideMark/>
          </w:tcPr>
          <w:p w14:paraId="4DD01DCA" w14:textId="77777777" w:rsidR="00721F18" w:rsidRPr="0088067E" w:rsidRDefault="00721F18" w:rsidP="00721F18">
            <w:pPr>
              <w:spacing w:line="284" w:lineRule="exact"/>
              <w:rPr>
                <w:b w:val="0"/>
                <w:sz w:val="22"/>
                <w:szCs w:val="22"/>
              </w:rPr>
            </w:pPr>
            <w:r w:rsidRPr="0088067E">
              <w:rPr>
                <w:b w:val="0"/>
                <w:color w:val="000000" w:themeColor="text1"/>
                <w:kern w:val="24"/>
                <w:sz w:val="22"/>
                <w:szCs w:val="22"/>
              </w:rPr>
              <w:t xml:space="preserve">Cost Savings </w:t>
            </w:r>
          </w:p>
        </w:tc>
        <w:tc>
          <w:tcPr>
            <w:tcW w:w="6115" w:type="dxa"/>
            <w:hideMark/>
          </w:tcPr>
          <w:p w14:paraId="4413A7EC" w14:textId="77777777" w:rsidR="00721F18" w:rsidRPr="0088067E" w:rsidRDefault="00721F18" w:rsidP="00721F18">
            <w:pPr>
              <w:spacing w:line="284" w:lineRule="exact"/>
              <w:cnfStyle w:val="000000100000" w:firstRow="0" w:lastRow="0" w:firstColumn="0" w:lastColumn="0" w:oddVBand="0" w:evenVBand="0" w:oddHBand="1" w:evenHBand="0" w:firstRowFirstColumn="0" w:firstRowLastColumn="0" w:lastRowFirstColumn="0" w:lastRowLastColumn="0"/>
              <w:rPr>
                <w:sz w:val="22"/>
                <w:szCs w:val="22"/>
              </w:rPr>
            </w:pPr>
            <w:r w:rsidRPr="0088067E">
              <w:rPr>
                <w:color w:val="000000" w:themeColor="text1"/>
                <w:kern w:val="24"/>
                <w:sz w:val="22"/>
                <w:szCs w:val="22"/>
              </w:rPr>
              <w:t xml:space="preserve">Agencies should factor in their ability to realize cost savings through lower monthly recurring charges, especially if non-recurring charges for these services have been waived.  </w:t>
            </w:r>
          </w:p>
        </w:tc>
      </w:tr>
      <w:tr w:rsidR="00721F18" w:rsidRPr="0088067E" w14:paraId="7E2C36C1" w14:textId="77777777" w:rsidTr="00AD6F8C">
        <w:trPr>
          <w:trHeight w:val="584"/>
        </w:trPr>
        <w:tc>
          <w:tcPr>
            <w:cnfStyle w:val="001000000000" w:firstRow="0" w:lastRow="0" w:firstColumn="1" w:lastColumn="0" w:oddVBand="0" w:evenVBand="0" w:oddHBand="0" w:evenHBand="0" w:firstRowFirstColumn="0" w:firstRowLastColumn="0" w:lastRowFirstColumn="0" w:lastRowLastColumn="0"/>
            <w:tcW w:w="3235" w:type="dxa"/>
            <w:hideMark/>
          </w:tcPr>
          <w:p w14:paraId="32E30F11" w14:textId="77777777" w:rsidR="00721F18" w:rsidRPr="0088067E" w:rsidRDefault="00721F18" w:rsidP="00721F18">
            <w:pPr>
              <w:spacing w:line="284" w:lineRule="exact"/>
              <w:rPr>
                <w:b w:val="0"/>
                <w:sz w:val="22"/>
                <w:szCs w:val="22"/>
              </w:rPr>
            </w:pPr>
            <w:r w:rsidRPr="0088067E">
              <w:rPr>
                <w:b w:val="0"/>
                <w:color w:val="000000" w:themeColor="text1"/>
                <w:kern w:val="24"/>
                <w:sz w:val="22"/>
                <w:szCs w:val="22"/>
              </w:rPr>
              <w:t>Diversity</w:t>
            </w:r>
          </w:p>
        </w:tc>
        <w:tc>
          <w:tcPr>
            <w:tcW w:w="6115" w:type="dxa"/>
            <w:hideMark/>
          </w:tcPr>
          <w:p w14:paraId="4BC5CBE7" w14:textId="52B2F397" w:rsidR="00721F18" w:rsidRPr="0088067E" w:rsidRDefault="00721F18" w:rsidP="00B415BC">
            <w:pPr>
              <w:spacing w:line="284" w:lineRule="exact"/>
              <w:cnfStyle w:val="000000000000" w:firstRow="0" w:lastRow="0" w:firstColumn="0" w:lastColumn="0" w:oddVBand="0" w:evenVBand="0" w:oddHBand="0" w:evenHBand="0" w:firstRowFirstColumn="0" w:firstRowLastColumn="0" w:lastRowFirstColumn="0" w:lastRowLastColumn="0"/>
              <w:rPr>
                <w:sz w:val="22"/>
                <w:szCs w:val="22"/>
              </w:rPr>
            </w:pPr>
            <w:r w:rsidRPr="0088067E">
              <w:rPr>
                <w:color w:val="000000" w:themeColor="text1"/>
                <w:kern w:val="24"/>
                <w:sz w:val="22"/>
                <w:szCs w:val="22"/>
              </w:rPr>
              <w:t xml:space="preserve">Diversity is a factor that </w:t>
            </w:r>
            <w:r w:rsidR="00B415BC">
              <w:rPr>
                <w:color w:val="000000" w:themeColor="text1"/>
                <w:kern w:val="24"/>
                <w:sz w:val="22"/>
                <w:szCs w:val="22"/>
              </w:rPr>
              <w:t>frequently</w:t>
            </w:r>
            <w:r w:rsidRPr="0088067E">
              <w:rPr>
                <w:color w:val="000000" w:themeColor="text1"/>
                <w:kern w:val="24"/>
                <w:sz w:val="22"/>
                <w:szCs w:val="22"/>
              </w:rPr>
              <w:t xml:space="preserve"> takes additional time to address; therefore, agencies should identify locations </w:t>
            </w:r>
            <w:r w:rsidR="00B415BC">
              <w:rPr>
                <w:color w:val="000000" w:themeColor="text1"/>
                <w:kern w:val="24"/>
                <w:sz w:val="22"/>
                <w:szCs w:val="22"/>
              </w:rPr>
              <w:t>requiring diversity,</w:t>
            </w:r>
            <w:r w:rsidRPr="0088067E">
              <w:rPr>
                <w:color w:val="000000" w:themeColor="text1"/>
                <w:kern w:val="24"/>
                <w:sz w:val="22"/>
                <w:szCs w:val="22"/>
              </w:rPr>
              <w:t xml:space="preserve"> and begin activities as early in the transition as possible.</w:t>
            </w:r>
          </w:p>
        </w:tc>
      </w:tr>
      <w:tr w:rsidR="00721F18" w:rsidRPr="0088067E" w14:paraId="11BD9D23" w14:textId="77777777" w:rsidTr="00AD6F8C">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3235" w:type="dxa"/>
            <w:hideMark/>
          </w:tcPr>
          <w:p w14:paraId="013D8227" w14:textId="283588B5" w:rsidR="00721F18" w:rsidRPr="0088067E" w:rsidRDefault="00C2493D" w:rsidP="00A93307">
            <w:pPr>
              <w:spacing w:line="284" w:lineRule="exact"/>
              <w:rPr>
                <w:b w:val="0"/>
                <w:sz w:val="22"/>
                <w:szCs w:val="22"/>
              </w:rPr>
            </w:pPr>
            <w:r>
              <w:rPr>
                <w:b w:val="0"/>
                <w:color w:val="000000" w:themeColor="text1"/>
                <w:kern w:val="24"/>
                <w:sz w:val="22"/>
                <w:szCs w:val="22"/>
              </w:rPr>
              <w:t>I</w:t>
            </w:r>
            <w:r w:rsidRPr="0088067E">
              <w:rPr>
                <w:b w:val="0"/>
                <w:color w:val="000000" w:themeColor="text1"/>
                <w:kern w:val="24"/>
                <w:sz w:val="22"/>
                <w:szCs w:val="22"/>
              </w:rPr>
              <w:t>mplementation</w:t>
            </w:r>
            <w:r>
              <w:rPr>
                <w:b w:val="0"/>
                <w:color w:val="000000" w:themeColor="text1"/>
                <w:kern w:val="24"/>
                <w:sz w:val="22"/>
                <w:szCs w:val="22"/>
              </w:rPr>
              <w:t>s of Orders on</w:t>
            </w:r>
            <w:r w:rsidRPr="0088067E">
              <w:rPr>
                <w:b w:val="0"/>
                <w:color w:val="000000" w:themeColor="text1"/>
                <w:kern w:val="24"/>
                <w:sz w:val="22"/>
                <w:szCs w:val="22"/>
              </w:rPr>
              <w:t xml:space="preserve"> </w:t>
            </w:r>
            <w:r w:rsidR="00721F18" w:rsidRPr="0088067E">
              <w:rPr>
                <w:b w:val="0"/>
                <w:color w:val="000000" w:themeColor="text1"/>
                <w:kern w:val="24"/>
                <w:sz w:val="22"/>
                <w:szCs w:val="22"/>
              </w:rPr>
              <w:t xml:space="preserve">Expiring </w:t>
            </w:r>
            <w:r>
              <w:rPr>
                <w:b w:val="0"/>
                <w:color w:val="000000" w:themeColor="text1"/>
                <w:kern w:val="24"/>
                <w:sz w:val="22"/>
                <w:szCs w:val="22"/>
              </w:rPr>
              <w:t>C</w:t>
            </w:r>
            <w:r w:rsidR="00721F18" w:rsidRPr="0088067E">
              <w:rPr>
                <w:b w:val="0"/>
                <w:color w:val="000000" w:themeColor="text1"/>
                <w:kern w:val="24"/>
                <w:sz w:val="22"/>
                <w:szCs w:val="22"/>
              </w:rPr>
              <w:t xml:space="preserve">ontracts </w:t>
            </w:r>
          </w:p>
        </w:tc>
        <w:tc>
          <w:tcPr>
            <w:tcW w:w="6115" w:type="dxa"/>
            <w:hideMark/>
          </w:tcPr>
          <w:p w14:paraId="2FB6C558" w14:textId="39BAECC9" w:rsidR="00721F18" w:rsidRPr="0088067E" w:rsidRDefault="00C2493D" w:rsidP="00A93307">
            <w:pPr>
              <w:spacing w:line="284" w:lineRule="exact"/>
              <w:cnfStyle w:val="000000100000" w:firstRow="0" w:lastRow="0" w:firstColumn="0" w:lastColumn="0" w:oddVBand="0" w:evenVBand="0" w:oddHBand="1" w:evenHBand="0" w:firstRowFirstColumn="0" w:firstRowLastColumn="0" w:lastRowFirstColumn="0" w:lastRowLastColumn="0"/>
              <w:rPr>
                <w:sz w:val="22"/>
                <w:szCs w:val="22"/>
              </w:rPr>
            </w:pPr>
            <w:r>
              <w:rPr>
                <w:color w:val="000000" w:themeColor="text1"/>
                <w:kern w:val="24"/>
                <w:sz w:val="22"/>
                <w:szCs w:val="22"/>
              </w:rPr>
              <w:t>O</w:t>
            </w:r>
            <w:r w:rsidR="00721F18" w:rsidRPr="0088067E">
              <w:rPr>
                <w:color w:val="000000" w:themeColor="text1"/>
                <w:kern w:val="24"/>
                <w:sz w:val="22"/>
                <w:szCs w:val="22"/>
              </w:rPr>
              <w:t xml:space="preserve">rders that are “in process” </w:t>
            </w:r>
            <w:r>
              <w:rPr>
                <w:color w:val="000000" w:themeColor="text1"/>
                <w:kern w:val="24"/>
                <w:sz w:val="22"/>
                <w:szCs w:val="22"/>
              </w:rPr>
              <w:t>on e</w:t>
            </w:r>
            <w:r w:rsidRPr="0088067E">
              <w:rPr>
                <w:color w:val="000000" w:themeColor="text1"/>
                <w:kern w:val="24"/>
                <w:sz w:val="22"/>
                <w:szCs w:val="22"/>
              </w:rPr>
              <w:t>xpiring contract</w:t>
            </w:r>
            <w:r>
              <w:rPr>
                <w:color w:val="000000" w:themeColor="text1"/>
                <w:kern w:val="24"/>
                <w:sz w:val="22"/>
                <w:szCs w:val="22"/>
              </w:rPr>
              <w:t>s</w:t>
            </w:r>
            <w:r w:rsidRPr="0088067E">
              <w:rPr>
                <w:color w:val="000000" w:themeColor="text1"/>
                <w:kern w:val="24"/>
                <w:sz w:val="22"/>
                <w:szCs w:val="22"/>
              </w:rPr>
              <w:t xml:space="preserve"> </w:t>
            </w:r>
            <w:r w:rsidR="00721F18" w:rsidRPr="0088067E">
              <w:rPr>
                <w:color w:val="000000" w:themeColor="text1"/>
                <w:kern w:val="24"/>
                <w:sz w:val="22"/>
                <w:szCs w:val="22"/>
              </w:rPr>
              <w:t>should be completed before engaging those sites in transition. Agencies should be aware of pending implementations and schedule transition accordingly.</w:t>
            </w:r>
          </w:p>
        </w:tc>
      </w:tr>
      <w:tr w:rsidR="00721F18" w:rsidRPr="0088067E" w14:paraId="21E62E26" w14:textId="77777777" w:rsidTr="00AD6F8C">
        <w:trPr>
          <w:trHeight w:val="323"/>
        </w:trPr>
        <w:tc>
          <w:tcPr>
            <w:cnfStyle w:val="001000000000" w:firstRow="0" w:lastRow="0" w:firstColumn="1" w:lastColumn="0" w:oddVBand="0" w:evenVBand="0" w:oddHBand="0" w:evenHBand="0" w:firstRowFirstColumn="0" w:firstRowLastColumn="0" w:lastRowFirstColumn="0" w:lastRowLastColumn="0"/>
            <w:tcW w:w="3235" w:type="dxa"/>
            <w:hideMark/>
          </w:tcPr>
          <w:p w14:paraId="3241F05D" w14:textId="28BC686E" w:rsidR="00721F18" w:rsidRPr="0088067E" w:rsidRDefault="00721F18" w:rsidP="00721F18">
            <w:pPr>
              <w:spacing w:line="284" w:lineRule="exact"/>
              <w:rPr>
                <w:b w:val="0"/>
                <w:sz w:val="22"/>
                <w:szCs w:val="22"/>
              </w:rPr>
            </w:pPr>
            <w:r>
              <w:rPr>
                <w:b w:val="0"/>
                <w:color w:val="000000" w:themeColor="text1"/>
                <w:kern w:val="24"/>
                <w:sz w:val="22"/>
                <w:szCs w:val="22"/>
              </w:rPr>
              <w:t xml:space="preserve">International </w:t>
            </w:r>
            <w:r w:rsidR="00C2493D">
              <w:rPr>
                <w:b w:val="0"/>
                <w:color w:val="000000" w:themeColor="text1"/>
                <w:kern w:val="24"/>
                <w:sz w:val="22"/>
                <w:szCs w:val="22"/>
              </w:rPr>
              <w:t>L</w:t>
            </w:r>
            <w:r>
              <w:rPr>
                <w:b w:val="0"/>
                <w:color w:val="000000" w:themeColor="text1"/>
                <w:kern w:val="24"/>
                <w:sz w:val="22"/>
                <w:szCs w:val="22"/>
              </w:rPr>
              <w:t>ocations</w:t>
            </w:r>
          </w:p>
        </w:tc>
        <w:tc>
          <w:tcPr>
            <w:tcW w:w="6115" w:type="dxa"/>
            <w:hideMark/>
          </w:tcPr>
          <w:p w14:paraId="26AEFB29" w14:textId="387ABD95" w:rsidR="00721F18" w:rsidRPr="0088067E" w:rsidRDefault="00721F18" w:rsidP="00A93307">
            <w:pPr>
              <w:spacing w:line="284" w:lineRule="exact"/>
              <w:cnfStyle w:val="000000000000" w:firstRow="0" w:lastRow="0" w:firstColumn="0" w:lastColumn="0" w:oddVBand="0" w:evenVBand="0" w:oddHBand="0" w:evenHBand="0" w:firstRowFirstColumn="0" w:firstRowLastColumn="0" w:lastRowFirstColumn="0" w:lastRowLastColumn="0"/>
              <w:rPr>
                <w:sz w:val="22"/>
                <w:szCs w:val="22"/>
              </w:rPr>
            </w:pPr>
            <w:r w:rsidRPr="0088067E">
              <w:rPr>
                <w:color w:val="000000" w:themeColor="text1"/>
                <w:kern w:val="24"/>
                <w:sz w:val="22"/>
                <w:szCs w:val="22"/>
              </w:rPr>
              <w:t xml:space="preserve">Delivery intervals for international locations </w:t>
            </w:r>
            <w:r w:rsidR="00B415BC">
              <w:rPr>
                <w:color w:val="000000" w:themeColor="text1"/>
                <w:kern w:val="24"/>
                <w:sz w:val="22"/>
                <w:szCs w:val="22"/>
              </w:rPr>
              <w:t>frequently</w:t>
            </w:r>
            <w:r w:rsidRPr="0088067E">
              <w:rPr>
                <w:color w:val="000000" w:themeColor="text1"/>
                <w:kern w:val="24"/>
                <w:sz w:val="22"/>
                <w:szCs w:val="22"/>
              </w:rPr>
              <w:t xml:space="preserve"> exceed CONUS intervals. Locations in underdeveloped countries can have exceptionally long intervals</w:t>
            </w:r>
            <w:r w:rsidR="00C2493D">
              <w:rPr>
                <w:color w:val="000000" w:themeColor="text1"/>
                <w:kern w:val="24"/>
                <w:sz w:val="22"/>
                <w:szCs w:val="22"/>
              </w:rPr>
              <w:t>, clearing personnel may require unspecified security procedures,</w:t>
            </w:r>
            <w:r w:rsidRPr="0088067E">
              <w:rPr>
                <w:color w:val="000000" w:themeColor="text1"/>
                <w:kern w:val="24"/>
                <w:sz w:val="22"/>
                <w:szCs w:val="22"/>
              </w:rPr>
              <w:t xml:space="preserve"> and delivering equipment to many countries can have </w:t>
            </w:r>
            <w:r w:rsidR="00C2493D">
              <w:rPr>
                <w:color w:val="000000" w:themeColor="text1"/>
                <w:kern w:val="24"/>
                <w:sz w:val="22"/>
                <w:szCs w:val="22"/>
              </w:rPr>
              <w:t>unique</w:t>
            </w:r>
            <w:r w:rsidR="00C2493D" w:rsidRPr="0088067E">
              <w:rPr>
                <w:color w:val="000000" w:themeColor="text1"/>
                <w:kern w:val="24"/>
                <w:sz w:val="22"/>
                <w:szCs w:val="22"/>
              </w:rPr>
              <w:t xml:space="preserve"> </w:t>
            </w:r>
            <w:r w:rsidRPr="0088067E">
              <w:rPr>
                <w:color w:val="000000" w:themeColor="text1"/>
                <w:kern w:val="24"/>
                <w:sz w:val="22"/>
                <w:szCs w:val="22"/>
              </w:rPr>
              <w:t xml:space="preserve">customs </w:t>
            </w:r>
            <w:r w:rsidR="00B415BC">
              <w:rPr>
                <w:color w:val="000000" w:themeColor="text1"/>
                <w:kern w:val="24"/>
                <w:sz w:val="22"/>
                <w:szCs w:val="22"/>
              </w:rPr>
              <w:t>requirements</w:t>
            </w:r>
            <w:r w:rsidRPr="0088067E">
              <w:rPr>
                <w:color w:val="000000" w:themeColor="text1"/>
                <w:kern w:val="24"/>
                <w:sz w:val="22"/>
                <w:szCs w:val="22"/>
              </w:rPr>
              <w:t xml:space="preserve"> that take time to resolve.</w:t>
            </w:r>
            <w:r>
              <w:rPr>
                <w:color w:val="000000" w:themeColor="text1"/>
                <w:kern w:val="24"/>
                <w:sz w:val="22"/>
                <w:szCs w:val="22"/>
              </w:rPr>
              <w:t xml:space="preserve"> Therefore, international orders should be placed early.</w:t>
            </w:r>
          </w:p>
        </w:tc>
      </w:tr>
      <w:tr w:rsidR="00721F18" w:rsidRPr="0088067E" w14:paraId="277EB964" w14:textId="77777777" w:rsidTr="00AD6F8C">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3235" w:type="dxa"/>
            <w:hideMark/>
          </w:tcPr>
          <w:p w14:paraId="16852643" w14:textId="4D435C59" w:rsidR="00721F18" w:rsidRPr="0088067E" w:rsidRDefault="00721F18" w:rsidP="00A93307">
            <w:pPr>
              <w:spacing w:line="284" w:lineRule="exact"/>
              <w:rPr>
                <w:b w:val="0"/>
                <w:sz w:val="22"/>
                <w:szCs w:val="22"/>
              </w:rPr>
            </w:pPr>
            <w:r w:rsidRPr="0088067E">
              <w:rPr>
                <w:b w:val="0"/>
                <w:color w:val="000000" w:themeColor="text1"/>
                <w:kern w:val="24"/>
                <w:sz w:val="22"/>
                <w:szCs w:val="22"/>
              </w:rPr>
              <w:t xml:space="preserve">Learning </w:t>
            </w:r>
            <w:r w:rsidR="00242529">
              <w:rPr>
                <w:b w:val="0"/>
                <w:color w:val="000000" w:themeColor="text1"/>
                <w:kern w:val="24"/>
                <w:sz w:val="22"/>
                <w:szCs w:val="22"/>
              </w:rPr>
              <w:t>C</w:t>
            </w:r>
            <w:r w:rsidRPr="0088067E">
              <w:rPr>
                <w:b w:val="0"/>
                <w:color w:val="000000" w:themeColor="text1"/>
                <w:kern w:val="24"/>
                <w:sz w:val="22"/>
                <w:szCs w:val="22"/>
              </w:rPr>
              <w:t xml:space="preserve">urve </w:t>
            </w:r>
            <w:r w:rsidR="00242529">
              <w:rPr>
                <w:b w:val="0"/>
                <w:color w:val="000000" w:themeColor="text1"/>
                <w:kern w:val="24"/>
                <w:sz w:val="22"/>
                <w:szCs w:val="22"/>
              </w:rPr>
              <w:t>and Pilots</w:t>
            </w:r>
          </w:p>
        </w:tc>
        <w:tc>
          <w:tcPr>
            <w:tcW w:w="6115" w:type="dxa"/>
            <w:hideMark/>
          </w:tcPr>
          <w:p w14:paraId="0D1987E3" w14:textId="0CE2528F" w:rsidR="00721F18" w:rsidRPr="0088067E" w:rsidRDefault="00721F18" w:rsidP="00B415BC">
            <w:pPr>
              <w:spacing w:line="284" w:lineRule="exact"/>
              <w:cnfStyle w:val="000000100000" w:firstRow="0" w:lastRow="0" w:firstColumn="0" w:lastColumn="0" w:oddVBand="0" w:evenVBand="0" w:oddHBand="1" w:evenHBand="0" w:firstRowFirstColumn="0" w:firstRowLastColumn="0" w:lastRowFirstColumn="0" w:lastRowLastColumn="0"/>
              <w:rPr>
                <w:sz w:val="22"/>
                <w:szCs w:val="22"/>
              </w:rPr>
            </w:pPr>
            <w:r w:rsidRPr="0088067E">
              <w:rPr>
                <w:bCs/>
                <w:color w:val="000000" w:themeColor="text1"/>
                <w:kern w:val="24"/>
                <w:sz w:val="22"/>
                <w:szCs w:val="22"/>
              </w:rPr>
              <w:t xml:space="preserve">When implementing new technology, lessons learned </w:t>
            </w:r>
            <w:r w:rsidR="00B415BC">
              <w:rPr>
                <w:bCs/>
                <w:color w:val="000000" w:themeColor="text1"/>
                <w:kern w:val="24"/>
                <w:sz w:val="22"/>
                <w:szCs w:val="22"/>
              </w:rPr>
              <w:t>recommend performing</w:t>
            </w:r>
            <w:r w:rsidRPr="0088067E">
              <w:rPr>
                <w:bCs/>
                <w:color w:val="000000" w:themeColor="text1"/>
                <w:kern w:val="24"/>
                <w:sz w:val="22"/>
                <w:szCs w:val="22"/>
              </w:rPr>
              <w:t xml:space="preserve"> pilot implementations to prove not only the technology, but implementation processes before attempting to scale delivery.</w:t>
            </w:r>
          </w:p>
        </w:tc>
      </w:tr>
      <w:tr w:rsidR="00721F18" w:rsidRPr="0088067E" w14:paraId="3814606B" w14:textId="77777777" w:rsidTr="00AD6F8C">
        <w:trPr>
          <w:trHeight w:val="350"/>
        </w:trPr>
        <w:tc>
          <w:tcPr>
            <w:cnfStyle w:val="001000000000" w:firstRow="0" w:lastRow="0" w:firstColumn="1" w:lastColumn="0" w:oddVBand="0" w:evenVBand="0" w:oddHBand="0" w:evenHBand="0" w:firstRowFirstColumn="0" w:firstRowLastColumn="0" w:lastRowFirstColumn="0" w:lastRowLastColumn="0"/>
            <w:tcW w:w="3235" w:type="dxa"/>
            <w:hideMark/>
          </w:tcPr>
          <w:p w14:paraId="439AE9B6" w14:textId="77777777" w:rsidR="00721F18" w:rsidRPr="0088067E" w:rsidRDefault="00721F18" w:rsidP="00721F18">
            <w:pPr>
              <w:spacing w:line="284" w:lineRule="exact"/>
              <w:rPr>
                <w:b w:val="0"/>
                <w:sz w:val="22"/>
                <w:szCs w:val="22"/>
              </w:rPr>
            </w:pPr>
            <w:r w:rsidRPr="0088067E">
              <w:rPr>
                <w:b w:val="0"/>
                <w:color w:val="000000" w:themeColor="text1"/>
                <w:kern w:val="24"/>
                <w:sz w:val="22"/>
                <w:szCs w:val="22"/>
              </w:rPr>
              <w:t>Limit MACDs</w:t>
            </w:r>
          </w:p>
        </w:tc>
        <w:tc>
          <w:tcPr>
            <w:tcW w:w="6115" w:type="dxa"/>
            <w:hideMark/>
          </w:tcPr>
          <w:p w14:paraId="2904CC0A" w14:textId="73E113BE" w:rsidR="00721F18" w:rsidRPr="0088067E" w:rsidRDefault="00721F18" w:rsidP="00F40715">
            <w:pPr>
              <w:spacing w:line="284" w:lineRule="exact"/>
              <w:cnfStyle w:val="000000000000" w:firstRow="0" w:lastRow="0" w:firstColumn="0" w:lastColumn="0" w:oddVBand="0" w:evenVBand="0" w:oddHBand="0" w:evenHBand="0" w:firstRowFirstColumn="0" w:firstRowLastColumn="0" w:lastRowFirstColumn="0" w:lastRowLastColumn="0"/>
              <w:rPr>
                <w:sz w:val="22"/>
                <w:szCs w:val="22"/>
              </w:rPr>
            </w:pPr>
            <w:r w:rsidRPr="0088067E">
              <w:rPr>
                <w:color w:val="000000" w:themeColor="text1"/>
                <w:kern w:val="24"/>
                <w:sz w:val="22"/>
                <w:szCs w:val="22"/>
              </w:rPr>
              <w:t>As much as practical, agencies should strive to limit moves, adds, changes</w:t>
            </w:r>
            <w:r w:rsidR="00803BBD">
              <w:rPr>
                <w:color w:val="000000" w:themeColor="text1"/>
                <w:kern w:val="24"/>
                <w:sz w:val="22"/>
                <w:szCs w:val="22"/>
              </w:rPr>
              <w:t>,</w:t>
            </w:r>
            <w:r w:rsidRPr="0088067E">
              <w:rPr>
                <w:color w:val="000000" w:themeColor="text1"/>
                <w:kern w:val="24"/>
                <w:sz w:val="22"/>
                <w:szCs w:val="22"/>
              </w:rPr>
              <w:t xml:space="preserve"> and disconnects </w:t>
            </w:r>
            <w:r w:rsidR="00242529">
              <w:rPr>
                <w:color w:val="000000" w:themeColor="text1"/>
                <w:kern w:val="24"/>
                <w:sz w:val="22"/>
                <w:szCs w:val="22"/>
              </w:rPr>
              <w:t xml:space="preserve">(MACDs) </w:t>
            </w:r>
            <w:r w:rsidRPr="0088067E">
              <w:rPr>
                <w:color w:val="000000" w:themeColor="text1"/>
                <w:kern w:val="24"/>
                <w:sz w:val="22"/>
                <w:szCs w:val="22"/>
              </w:rPr>
              <w:t>during transition, especially at sites that are actively engaged in new service implementation activities. A common mechanism employed is a “freeze period</w:t>
            </w:r>
            <w:r w:rsidR="00B415BC">
              <w:rPr>
                <w:color w:val="000000" w:themeColor="text1"/>
                <w:kern w:val="24"/>
                <w:sz w:val="22"/>
                <w:szCs w:val="22"/>
              </w:rPr>
              <w:t>.</w:t>
            </w:r>
            <w:r w:rsidRPr="0088067E">
              <w:rPr>
                <w:color w:val="000000" w:themeColor="text1"/>
                <w:kern w:val="24"/>
                <w:sz w:val="22"/>
                <w:szCs w:val="22"/>
              </w:rPr>
              <w:t xml:space="preserve">”  Agencies considering a freeze period </w:t>
            </w:r>
            <w:r w:rsidR="00B415BC">
              <w:rPr>
                <w:color w:val="000000" w:themeColor="text1"/>
                <w:kern w:val="24"/>
                <w:sz w:val="22"/>
                <w:szCs w:val="22"/>
              </w:rPr>
              <w:t>should</w:t>
            </w:r>
            <w:r w:rsidRPr="0088067E">
              <w:rPr>
                <w:color w:val="000000" w:themeColor="text1"/>
                <w:kern w:val="24"/>
                <w:sz w:val="22"/>
                <w:szCs w:val="22"/>
              </w:rPr>
              <w:t xml:space="preserve"> weigh the ability to enforce compliance.</w:t>
            </w:r>
          </w:p>
        </w:tc>
      </w:tr>
      <w:tr w:rsidR="00721F18" w:rsidRPr="0088067E" w14:paraId="4A5105FD" w14:textId="77777777" w:rsidTr="00AD6F8C">
        <w:trPr>
          <w:cnfStyle w:val="000000100000" w:firstRow="0" w:lastRow="0" w:firstColumn="0" w:lastColumn="0" w:oddVBand="0" w:evenVBand="0" w:oddHBand="1" w:evenHBand="0" w:firstRowFirstColumn="0" w:firstRowLastColumn="0" w:lastRowFirstColumn="0" w:lastRowLastColumn="0"/>
          <w:trHeight w:val="2690"/>
        </w:trPr>
        <w:tc>
          <w:tcPr>
            <w:cnfStyle w:val="001000000000" w:firstRow="0" w:lastRow="0" w:firstColumn="1" w:lastColumn="0" w:oddVBand="0" w:evenVBand="0" w:oddHBand="0" w:evenHBand="0" w:firstRowFirstColumn="0" w:firstRowLastColumn="0" w:lastRowFirstColumn="0" w:lastRowLastColumn="0"/>
            <w:tcW w:w="3235" w:type="dxa"/>
            <w:hideMark/>
          </w:tcPr>
          <w:p w14:paraId="00C3B8F9" w14:textId="77777777" w:rsidR="00721F18" w:rsidRPr="0088067E" w:rsidRDefault="00721F18" w:rsidP="00721F18">
            <w:pPr>
              <w:spacing w:line="284" w:lineRule="exact"/>
              <w:rPr>
                <w:b w:val="0"/>
                <w:sz w:val="22"/>
                <w:szCs w:val="22"/>
              </w:rPr>
            </w:pPr>
            <w:r w:rsidRPr="0088067E">
              <w:rPr>
                <w:b w:val="0"/>
                <w:color w:val="000000" w:themeColor="text1"/>
                <w:kern w:val="24"/>
                <w:sz w:val="22"/>
                <w:szCs w:val="22"/>
              </w:rPr>
              <w:lastRenderedPageBreak/>
              <w:t>Local Voice Service</w:t>
            </w:r>
          </w:p>
        </w:tc>
        <w:tc>
          <w:tcPr>
            <w:tcW w:w="6115" w:type="dxa"/>
            <w:hideMark/>
          </w:tcPr>
          <w:p w14:paraId="6F9BE299" w14:textId="7B9B7D95" w:rsidR="00721F18" w:rsidRPr="0088067E" w:rsidRDefault="00721F18" w:rsidP="00B047F0">
            <w:pPr>
              <w:spacing w:line="284" w:lineRule="exact"/>
              <w:cnfStyle w:val="000000100000" w:firstRow="0" w:lastRow="0" w:firstColumn="0" w:lastColumn="0" w:oddVBand="0" w:evenVBand="0" w:oddHBand="1" w:evenHBand="0" w:firstRowFirstColumn="0" w:firstRowLastColumn="0" w:lastRowFirstColumn="0" w:lastRowLastColumn="0"/>
              <w:rPr>
                <w:sz w:val="22"/>
                <w:szCs w:val="22"/>
              </w:rPr>
            </w:pPr>
            <w:r w:rsidRPr="0088067E">
              <w:rPr>
                <w:color w:val="000000" w:themeColor="text1"/>
                <w:kern w:val="24"/>
                <w:sz w:val="22"/>
                <w:szCs w:val="22"/>
              </w:rPr>
              <w:t xml:space="preserve">The transition of local services can be challenging, as processes are not universal across all local providers. </w:t>
            </w:r>
            <w:r w:rsidR="00242529">
              <w:rPr>
                <w:color w:val="000000" w:themeColor="text1"/>
                <w:kern w:val="24"/>
                <w:sz w:val="22"/>
                <w:szCs w:val="22"/>
              </w:rPr>
              <w:t xml:space="preserve">Challenges </w:t>
            </w:r>
            <w:r w:rsidRPr="0088067E">
              <w:rPr>
                <w:color w:val="000000" w:themeColor="text1"/>
                <w:kern w:val="24"/>
                <w:sz w:val="22"/>
                <w:szCs w:val="22"/>
              </w:rPr>
              <w:t xml:space="preserve">include local number portability (LNP), </w:t>
            </w:r>
            <w:r w:rsidR="00B047F0">
              <w:rPr>
                <w:color w:val="000000" w:themeColor="text1"/>
                <w:kern w:val="24"/>
                <w:sz w:val="22"/>
                <w:szCs w:val="22"/>
              </w:rPr>
              <w:t>Primary</w:t>
            </w:r>
            <w:r w:rsidRPr="0088067E">
              <w:rPr>
                <w:color w:val="000000" w:themeColor="text1"/>
                <w:kern w:val="24"/>
                <w:sz w:val="22"/>
                <w:szCs w:val="22"/>
              </w:rPr>
              <w:t xml:space="preserve"> Interexchange Carrier (PIC)</w:t>
            </w:r>
            <w:r w:rsidR="00242529">
              <w:rPr>
                <w:color w:val="000000" w:themeColor="text1"/>
                <w:kern w:val="24"/>
                <w:sz w:val="22"/>
                <w:szCs w:val="22"/>
              </w:rPr>
              <w:t xml:space="preserve"> change</w:t>
            </w:r>
            <w:r w:rsidRPr="0088067E">
              <w:rPr>
                <w:color w:val="000000" w:themeColor="text1"/>
                <w:kern w:val="24"/>
                <w:sz w:val="22"/>
                <w:szCs w:val="22"/>
              </w:rPr>
              <w:t>, generation of billing from a default long distance carrier (casual billing), Back Office Transition (BOT), and dependencies from different contract sub-organizations (unregulated and regulated entities). Given these complexities, this is an area where agencies should consider a dedicated transition team.</w:t>
            </w:r>
          </w:p>
        </w:tc>
      </w:tr>
      <w:tr w:rsidR="00721F18" w:rsidRPr="0088067E" w14:paraId="63FD02B6" w14:textId="77777777" w:rsidTr="00AD6F8C">
        <w:trPr>
          <w:trHeight w:val="584"/>
        </w:trPr>
        <w:tc>
          <w:tcPr>
            <w:cnfStyle w:val="001000000000" w:firstRow="0" w:lastRow="0" w:firstColumn="1" w:lastColumn="0" w:oddVBand="0" w:evenVBand="0" w:oddHBand="0" w:evenHBand="0" w:firstRowFirstColumn="0" w:firstRowLastColumn="0" w:lastRowFirstColumn="0" w:lastRowLastColumn="0"/>
            <w:tcW w:w="3235" w:type="dxa"/>
            <w:hideMark/>
          </w:tcPr>
          <w:p w14:paraId="215F8A69" w14:textId="77777777" w:rsidR="00721F18" w:rsidRPr="0088067E" w:rsidRDefault="00721F18" w:rsidP="00721F18">
            <w:pPr>
              <w:spacing w:line="284" w:lineRule="exact"/>
              <w:rPr>
                <w:b w:val="0"/>
                <w:sz w:val="22"/>
                <w:szCs w:val="22"/>
              </w:rPr>
            </w:pPr>
            <w:r w:rsidRPr="0088067E">
              <w:rPr>
                <w:b w:val="0"/>
                <w:color w:val="000000" w:themeColor="text1"/>
                <w:kern w:val="24"/>
                <w:sz w:val="22"/>
                <w:szCs w:val="22"/>
              </w:rPr>
              <w:t xml:space="preserve">Multiple EIS Task Orders </w:t>
            </w:r>
          </w:p>
        </w:tc>
        <w:tc>
          <w:tcPr>
            <w:tcW w:w="6115" w:type="dxa"/>
            <w:hideMark/>
          </w:tcPr>
          <w:p w14:paraId="694DAD44" w14:textId="1D2A2625" w:rsidR="00721F18" w:rsidRPr="0088067E" w:rsidRDefault="00721F18" w:rsidP="00B415BC">
            <w:pPr>
              <w:spacing w:line="284" w:lineRule="exact"/>
              <w:cnfStyle w:val="000000000000" w:firstRow="0" w:lastRow="0" w:firstColumn="0" w:lastColumn="0" w:oddVBand="0" w:evenVBand="0" w:oddHBand="0" w:evenHBand="0" w:firstRowFirstColumn="0" w:firstRowLastColumn="0" w:lastRowFirstColumn="0" w:lastRowLastColumn="0"/>
              <w:rPr>
                <w:sz w:val="22"/>
                <w:szCs w:val="22"/>
              </w:rPr>
            </w:pPr>
            <w:r w:rsidRPr="0088067E">
              <w:rPr>
                <w:color w:val="000000" w:themeColor="text1"/>
                <w:kern w:val="24"/>
                <w:sz w:val="22"/>
                <w:szCs w:val="22"/>
              </w:rPr>
              <w:t xml:space="preserve">When determining the sequence of placing orders, agencies should </w:t>
            </w:r>
            <w:r w:rsidR="00803BBD" w:rsidRPr="0088067E">
              <w:rPr>
                <w:color w:val="000000" w:themeColor="text1"/>
                <w:kern w:val="24"/>
                <w:sz w:val="22"/>
                <w:szCs w:val="22"/>
              </w:rPr>
              <w:t>consider</w:t>
            </w:r>
            <w:r w:rsidRPr="0088067E">
              <w:rPr>
                <w:color w:val="000000" w:themeColor="text1"/>
                <w:kern w:val="24"/>
                <w:sz w:val="22"/>
                <w:szCs w:val="22"/>
              </w:rPr>
              <w:t xml:space="preserve"> </w:t>
            </w:r>
            <w:r w:rsidR="00242529">
              <w:rPr>
                <w:color w:val="000000" w:themeColor="text1"/>
                <w:kern w:val="24"/>
                <w:sz w:val="22"/>
                <w:szCs w:val="22"/>
              </w:rPr>
              <w:t xml:space="preserve">how </w:t>
            </w:r>
            <w:r w:rsidRPr="0088067E">
              <w:rPr>
                <w:color w:val="000000" w:themeColor="text1"/>
                <w:kern w:val="24"/>
                <w:sz w:val="22"/>
                <w:szCs w:val="22"/>
              </w:rPr>
              <w:t xml:space="preserve">work related to multiple </w:t>
            </w:r>
            <w:r w:rsidR="00803BBD">
              <w:rPr>
                <w:color w:val="000000" w:themeColor="text1"/>
                <w:kern w:val="24"/>
                <w:sz w:val="22"/>
                <w:szCs w:val="22"/>
              </w:rPr>
              <w:t>TOs</w:t>
            </w:r>
            <w:r w:rsidRPr="0088067E">
              <w:rPr>
                <w:color w:val="000000" w:themeColor="text1"/>
                <w:kern w:val="24"/>
                <w:sz w:val="22"/>
                <w:szCs w:val="22"/>
              </w:rPr>
              <w:t xml:space="preserve"> (from a single EIS </w:t>
            </w:r>
            <w:r w:rsidR="00B415BC">
              <w:rPr>
                <w:color w:val="000000" w:themeColor="text1"/>
                <w:kern w:val="24"/>
                <w:sz w:val="22"/>
                <w:szCs w:val="22"/>
              </w:rPr>
              <w:t>c</w:t>
            </w:r>
            <w:r w:rsidRPr="0088067E">
              <w:rPr>
                <w:color w:val="000000" w:themeColor="text1"/>
                <w:kern w:val="24"/>
                <w:sz w:val="22"/>
                <w:szCs w:val="22"/>
              </w:rPr>
              <w:t xml:space="preserve">ontractor or multiple EIS </w:t>
            </w:r>
            <w:r w:rsidR="00B415BC">
              <w:rPr>
                <w:color w:val="000000" w:themeColor="text1"/>
                <w:kern w:val="24"/>
                <w:sz w:val="22"/>
                <w:szCs w:val="22"/>
              </w:rPr>
              <w:t>c</w:t>
            </w:r>
            <w:r w:rsidRPr="0088067E">
              <w:rPr>
                <w:color w:val="000000" w:themeColor="text1"/>
                <w:kern w:val="24"/>
                <w:sz w:val="22"/>
                <w:szCs w:val="22"/>
              </w:rPr>
              <w:t>ontractors) might adversely impact a site.</w:t>
            </w:r>
          </w:p>
        </w:tc>
      </w:tr>
      <w:tr w:rsidR="00721F18" w:rsidRPr="002E46EF" w14:paraId="477599BE" w14:textId="77777777" w:rsidTr="00AD6F8C">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3235" w:type="dxa"/>
            <w:hideMark/>
          </w:tcPr>
          <w:p w14:paraId="7C5DE75D" w14:textId="77777777" w:rsidR="00721F18" w:rsidRPr="002E46EF" w:rsidRDefault="00721F18" w:rsidP="00721F18">
            <w:pPr>
              <w:spacing w:line="336" w:lineRule="exact"/>
              <w:rPr>
                <w:b w:val="0"/>
                <w:sz w:val="22"/>
                <w:szCs w:val="22"/>
              </w:rPr>
            </w:pPr>
            <w:r w:rsidRPr="002E46EF">
              <w:rPr>
                <w:b w:val="0"/>
                <w:color w:val="000000" w:themeColor="text1"/>
                <w:kern w:val="24"/>
                <w:sz w:val="22"/>
                <w:szCs w:val="22"/>
              </w:rPr>
              <w:t>Network Topology</w:t>
            </w:r>
          </w:p>
        </w:tc>
        <w:tc>
          <w:tcPr>
            <w:tcW w:w="6115" w:type="dxa"/>
            <w:hideMark/>
          </w:tcPr>
          <w:p w14:paraId="3981E687" w14:textId="01DDA40A" w:rsidR="00721F18" w:rsidRPr="002E46EF" w:rsidRDefault="00721F18" w:rsidP="00B415BC">
            <w:pPr>
              <w:spacing w:line="284" w:lineRule="exact"/>
              <w:cnfStyle w:val="000000100000" w:firstRow="0" w:lastRow="0" w:firstColumn="0" w:lastColumn="0" w:oddVBand="0" w:evenVBand="0" w:oddHBand="1" w:evenHBand="0" w:firstRowFirstColumn="0" w:firstRowLastColumn="0" w:lastRowFirstColumn="0" w:lastRowLastColumn="0"/>
              <w:rPr>
                <w:sz w:val="22"/>
                <w:szCs w:val="22"/>
              </w:rPr>
            </w:pPr>
            <w:r w:rsidRPr="002E46EF">
              <w:rPr>
                <w:bCs/>
                <w:color w:val="000000" w:themeColor="text1"/>
                <w:kern w:val="24"/>
                <w:sz w:val="22"/>
                <w:szCs w:val="22"/>
              </w:rPr>
              <w:t xml:space="preserve">Agencies should </w:t>
            </w:r>
            <w:r w:rsidR="00123802">
              <w:rPr>
                <w:bCs/>
                <w:color w:val="000000" w:themeColor="text1"/>
                <w:kern w:val="24"/>
                <w:sz w:val="22"/>
                <w:szCs w:val="22"/>
              </w:rPr>
              <w:t>ensure</w:t>
            </w:r>
            <w:r w:rsidRPr="002E46EF">
              <w:rPr>
                <w:bCs/>
                <w:color w:val="000000" w:themeColor="text1"/>
                <w:kern w:val="24"/>
                <w:sz w:val="22"/>
                <w:szCs w:val="22"/>
              </w:rPr>
              <w:t xml:space="preserve"> they align with their EIS </w:t>
            </w:r>
            <w:r w:rsidR="00B415BC">
              <w:rPr>
                <w:bCs/>
                <w:color w:val="000000" w:themeColor="text1"/>
                <w:kern w:val="24"/>
                <w:sz w:val="22"/>
                <w:szCs w:val="22"/>
              </w:rPr>
              <w:t>contractor</w:t>
            </w:r>
            <w:r w:rsidRPr="002E46EF">
              <w:rPr>
                <w:bCs/>
                <w:color w:val="000000" w:themeColor="text1"/>
                <w:kern w:val="24"/>
                <w:sz w:val="22"/>
                <w:szCs w:val="22"/>
              </w:rPr>
              <w:t>(s) on how the network topology may necessitate a specific sequencing of orders. A common example would be a hierarchical structure that incorporates hub and spoke locations, where hubs need to be installed before spokes.</w:t>
            </w:r>
          </w:p>
        </w:tc>
      </w:tr>
      <w:tr w:rsidR="00721F18" w:rsidRPr="002E46EF" w14:paraId="68A1C146" w14:textId="77777777" w:rsidTr="00AD6F8C">
        <w:trPr>
          <w:trHeight w:val="584"/>
        </w:trPr>
        <w:tc>
          <w:tcPr>
            <w:cnfStyle w:val="001000000000" w:firstRow="0" w:lastRow="0" w:firstColumn="1" w:lastColumn="0" w:oddVBand="0" w:evenVBand="0" w:oddHBand="0" w:evenHBand="0" w:firstRowFirstColumn="0" w:firstRowLastColumn="0" w:lastRowFirstColumn="0" w:lastRowLastColumn="0"/>
            <w:tcW w:w="3235" w:type="dxa"/>
            <w:hideMark/>
          </w:tcPr>
          <w:p w14:paraId="0597D98E" w14:textId="77777777" w:rsidR="00721F18" w:rsidRPr="002E46EF" w:rsidRDefault="00721F18" w:rsidP="00721F18">
            <w:pPr>
              <w:spacing w:line="284" w:lineRule="exact"/>
              <w:rPr>
                <w:b w:val="0"/>
                <w:sz w:val="22"/>
                <w:szCs w:val="22"/>
              </w:rPr>
            </w:pPr>
            <w:r w:rsidRPr="002E46EF">
              <w:rPr>
                <w:b w:val="0"/>
                <w:color w:val="000000" w:themeColor="text1"/>
                <w:kern w:val="24"/>
                <w:sz w:val="22"/>
                <w:szCs w:val="22"/>
              </w:rPr>
              <w:t>Physical Buildout Support</w:t>
            </w:r>
          </w:p>
        </w:tc>
        <w:tc>
          <w:tcPr>
            <w:tcW w:w="6115" w:type="dxa"/>
            <w:hideMark/>
          </w:tcPr>
          <w:p w14:paraId="2D81D3A9" w14:textId="2B69E88E" w:rsidR="00721F18" w:rsidRPr="002E46EF" w:rsidRDefault="00721F18" w:rsidP="00A93307">
            <w:pPr>
              <w:spacing w:line="284" w:lineRule="exact"/>
              <w:cnfStyle w:val="000000000000" w:firstRow="0" w:lastRow="0" w:firstColumn="0" w:lastColumn="0" w:oddVBand="0" w:evenVBand="0" w:oddHBand="0" w:evenHBand="0" w:firstRowFirstColumn="0" w:firstRowLastColumn="0" w:lastRowFirstColumn="0" w:lastRowLastColumn="0"/>
              <w:rPr>
                <w:sz w:val="22"/>
                <w:szCs w:val="22"/>
              </w:rPr>
            </w:pPr>
            <w:r w:rsidRPr="002E46EF">
              <w:rPr>
                <w:color w:val="000000" w:themeColor="text1"/>
                <w:kern w:val="24"/>
                <w:sz w:val="22"/>
                <w:szCs w:val="22"/>
              </w:rPr>
              <w:t>Locations with known physical deficiencies (</w:t>
            </w:r>
            <w:r w:rsidR="00242529">
              <w:rPr>
                <w:color w:val="000000" w:themeColor="text1"/>
                <w:kern w:val="24"/>
                <w:sz w:val="22"/>
                <w:szCs w:val="22"/>
              </w:rPr>
              <w:t>w</w:t>
            </w:r>
            <w:r w:rsidRPr="002E46EF">
              <w:rPr>
                <w:color w:val="000000" w:themeColor="text1"/>
                <w:kern w:val="24"/>
                <w:sz w:val="22"/>
                <w:szCs w:val="22"/>
              </w:rPr>
              <w:t xml:space="preserve">iring, pathways, equipment, and special construction) should be addressed as early as possible in the transition, as these deficiencies have the potential to </w:t>
            </w:r>
            <w:r w:rsidR="00123802">
              <w:rPr>
                <w:color w:val="000000" w:themeColor="text1"/>
                <w:kern w:val="24"/>
                <w:sz w:val="22"/>
                <w:szCs w:val="22"/>
              </w:rPr>
              <w:t>create</w:t>
            </w:r>
            <w:r w:rsidR="00123802" w:rsidRPr="002E46EF">
              <w:rPr>
                <w:color w:val="000000" w:themeColor="text1"/>
                <w:kern w:val="24"/>
                <w:sz w:val="22"/>
                <w:szCs w:val="22"/>
              </w:rPr>
              <w:t xml:space="preserve"> </w:t>
            </w:r>
            <w:r w:rsidRPr="002E46EF">
              <w:rPr>
                <w:color w:val="000000" w:themeColor="text1"/>
                <w:kern w:val="24"/>
                <w:sz w:val="22"/>
                <w:szCs w:val="22"/>
              </w:rPr>
              <w:t xml:space="preserve">significant delays.  </w:t>
            </w:r>
            <w:r w:rsidR="00123802">
              <w:rPr>
                <w:color w:val="000000" w:themeColor="text1"/>
                <w:kern w:val="24"/>
                <w:sz w:val="22"/>
                <w:szCs w:val="22"/>
              </w:rPr>
              <w:t>O</w:t>
            </w:r>
            <w:r w:rsidRPr="002E46EF">
              <w:rPr>
                <w:color w:val="000000" w:themeColor="text1"/>
                <w:kern w:val="24"/>
                <w:sz w:val="22"/>
                <w:szCs w:val="22"/>
              </w:rPr>
              <w:t>ften these requirements are not known until an order is placed</w:t>
            </w:r>
            <w:r w:rsidR="00242529">
              <w:rPr>
                <w:color w:val="000000" w:themeColor="text1"/>
                <w:kern w:val="24"/>
                <w:sz w:val="22"/>
                <w:szCs w:val="22"/>
              </w:rPr>
              <w:t xml:space="preserve">, </w:t>
            </w:r>
            <w:r w:rsidRPr="002E46EF">
              <w:rPr>
                <w:color w:val="000000" w:themeColor="text1"/>
                <w:kern w:val="24"/>
                <w:sz w:val="22"/>
                <w:szCs w:val="22"/>
              </w:rPr>
              <w:t xml:space="preserve">facility availability </w:t>
            </w:r>
            <w:r w:rsidR="00242529">
              <w:rPr>
                <w:color w:val="000000" w:themeColor="text1"/>
                <w:kern w:val="24"/>
                <w:sz w:val="22"/>
                <w:szCs w:val="22"/>
              </w:rPr>
              <w:t>is assessed</w:t>
            </w:r>
            <w:r w:rsidR="00803BBD" w:rsidRPr="002E46EF">
              <w:rPr>
                <w:color w:val="000000" w:themeColor="text1"/>
                <w:kern w:val="24"/>
                <w:sz w:val="22"/>
                <w:szCs w:val="22"/>
              </w:rPr>
              <w:t>,</w:t>
            </w:r>
            <w:r w:rsidRPr="002E46EF">
              <w:rPr>
                <w:color w:val="000000" w:themeColor="text1"/>
                <w:kern w:val="24"/>
                <w:sz w:val="22"/>
                <w:szCs w:val="22"/>
              </w:rPr>
              <w:t xml:space="preserve"> and site surveys are conducted. </w:t>
            </w:r>
          </w:p>
        </w:tc>
      </w:tr>
      <w:tr w:rsidR="00721F18" w:rsidRPr="002E46EF" w14:paraId="4A2DFD79" w14:textId="77777777" w:rsidTr="00AD6F8C">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3235" w:type="dxa"/>
            <w:hideMark/>
          </w:tcPr>
          <w:p w14:paraId="20809431" w14:textId="77777777" w:rsidR="00721F18" w:rsidRPr="002E46EF" w:rsidRDefault="00721F18" w:rsidP="00721F18">
            <w:pPr>
              <w:spacing w:line="284" w:lineRule="exact"/>
              <w:rPr>
                <w:b w:val="0"/>
                <w:sz w:val="22"/>
                <w:szCs w:val="22"/>
              </w:rPr>
            </w:pPr>
            <w:r w:rsidRPr="002E46EF">
              <w:rPr>
                <w:b w:val="0"/>
                <w:color w:val="000000" w:themeColor="text1"/>
                <w:kern w:val="24"/>
                <w:sz w:val="22"/>
                <w:szCs w:val="22"/>
              </w:rPr>
              <w:t xml:space="preserve">Public Impacting </w:t>
            </w:r>
          </w:p>
        </w:tc>
        <w:tc>
          <w:tcPr>
            <w:tcW w:w="6115" w:type="dxa"/>
            <w:hideMark/>
          </w:tcPr>
          <w:p w14:paraId="7FC1D5A4" w14:textId="16E42F9E" w:rsidR="00721F18" w:rsidRPr="002E46EF" w:rsidRDefault="00721F18" w:rsidP="00A93307">
            <w:pPr>
              <w:spacing w:line="284" w:lineRule="exact"/>
              <w:cnfStyle w:val="000000100000" w:firstRow="0" w:lastRow="0" w:firstColumn="0" w:lastColumn="0" w:oddVBand="0" w:evenVBand="0" w:oddHBand="1" w:evenHBand="0" w:firstRowFirstColumn="0" w:firstRowLastColumn="0" w:lastRowFirstColumn="0" w:lastRowLastColumn="0"/>
              <w:rPr>
                <w:sz w:val="22"/>
                <w:szCs w:val="22"/>
              </w:rPr>
            </w:pPr>
            <w:r w:rsidRPr="002E46EF">
              <w:rPr>
                <w:color w:val="000000" w:themeColor="text1"/>
                <w:kern w:val="24"/>
                <w:sz w:val="22"/>
                <w:szCs w:val="22"/>
              </w:rPr>
              <w:t>Transition of services that are public impacting (access to web sites, toll free services, and contact centers)</w:t>
            </w:r>
            <w:r w:rsidR="00123802">
              <w:rPr>
                <w:color w:val="000000" w:themeColor="text1"/>
                <w:kern w:val="24"/>
                <w:sz w:val="22"/>
                <w:szCs w:val="22"/>
              </w:rPr>
              <w:t>,</w:t>
            </w:r>
            <w:r w:rsidRPr="002E46EF">
              <w:rPr>
                <w:color w:val="000000" w:themeColor="text1"/>
                <w:kern w:val="24"/>
                <w:sz w:val="22"/>
                <w:szCs w:val="22"/>
              </w:rPr>
              <w:t xml:space="preserve"> should receive extraordinary attention.  In sequencing these orders, care should be given to include time for extensive testing</w:t>
            </w:r>
            <w:r w:rsidR="00242529">
              <w:rPr>
                <w:color w:val="000000" w:themeColor="text1"/>
                <w:kern w:val="24"/>
                <w:sz w:val="22"/>
                <w:szCs w:val="22"/>
              </w:rPr>
              <w:t xml:space="preserve"> and procedures for fallback, failover, or overflow to minimize service interruptions</w:t>
            </w:r>
            <w:r w:rsidRPr="002E46EF">
              <w:rPr>
                <w:color w:val="000000" w:themeColor="text1"/>
                <w:kern w:val="24"/>
                <w:sz w:val="22"/>
                <w:szCs w:val="22"/>
              </w:rPr>
              <w:t>.</w:t>
            </w:r>
          </w:p>
        </w:tc>
      </w:tr>
      <w:tr w:rsidR="00721F18" w:rsidRPr="002E46EF" w14:paraId="3E0204EB" w14:textId="77777777" w:rsidTr="00AD6F8C">
        <w:trPr>
          <w:trHeight w:val="584"/>
        </w:trPr>
        <w:tc>
          <w:tcPr>
            <w:cnfStyle w:val="001000000000" w:firstRow="0" w:lastRow="0" w:firstColumn="1" w:lastColumn="0" w:oddVBand="0" w:evenVBand="0" w:oddHBand="0" w:evenHBand="0" w:firstRowFirstColumn="0" w:firstRowLastColumn="0" w:lastRowFirstColumn="0" w:lastRowLastColumn="0"/>
            <w:tcW w:w="3235" w:type="dxa"/>
            <w:hideMark/>
          </w:tcPr>
          <w:p w14:paraId="6161DF66" w14:textId="4B03705B" w:rsidR="00721F18" w:rsidRPr="002E46EF" w:rsidRDefault="00721F18" w:rsidP="00721F18">
            <w:pPr>
              <w:spacing w:line="284" w:lineRule="exact"/>
              <w:rPr>
                <w:b w:val="0"/>
                <w:sz w:val="22"/>
                <w:szCs w:val="22"/>
              </w:rPr>
            </w:pPr>
            <w:r w:rsidRPr="002E46EF">
              <w:rPr>
                <w:b w:val="0"/>
                <w:color w:val="000000" w:themeColor="text1"/>
                <w:kern w:val="24"/>
                <w:sz w:val="22"/>
                <w:szCs w:val="22"/>
              </w:rPr>
              <w:t>Quick Wins</w:t>
            </w:r>
            <w:r w:rsidR="00242529">
              <w:rPr>
                <w:b w:val="0"/>
                <w:color w:val="000000" w:themeColor="text1"/>
                <w:kern w:val="24"/>
                <w:sz w:val="22"/>
                <w:szCs w:val="22"/>
              </w:rPr>
              <w:t xml:space="preserve"> and High Visibility</w:t>
            </w:r>
          </w:p>
        </w:tc>
        <w:tc>
          <w:tcPr>
            <w:tcW w:w="6115" w:type="dxa"/>
            <w:hideMark/>
          </w:tcPr>
          <w:p w14:paraId="02C44119" w14:textId="007920C9" w:rsidR="00721F18" w:rsidRPr="002E46EF" w:rsidRDefault="00721F18" w:rsidP="00123802">
            <w:pPr>
              <w:spacing w:line="284" w:lineRule="exact"/>
              <w:cnfStyle w:val="000000000000" w:firstRow="0" w:lastRow="0" w:firstColumn="0" w:lastColumn="0" w:oddVBand="0" w:evenVBand="0" w:oddHBand="0" w:evenHBand="0" w:firstRowFirstColumn="0" w:firstRowLastColumn="0" w:lastRowFirstColumn="0" w:lastRowLastColumn="0"/>
              <w:rPr>
                <w:sz w:val="22"/>
                <w:szCs w:val="22"/>
              </w:rPr>
            </w:pPr>
            <w:r w:rsidRPr="002E46EF">
              <w:rPr>
                <w:color w:val="000000" w:themeColor="text1"/>
                <w:kern w:val="24"/>
                <w:sz w:val="22"/>
                <w:szCs w:val="22"/>
              </w:rPr>
              <w:t>Large</w:t>
            </w:r>
            <w:r w:rsidR="00123802">
              <w:rPr>
                <w:color w:val="000000" w:themeColor="text1"/>
                <w:kern w:val="24"/>
                <w:sz w:val="22"/>
                <w:szCs w:val="22"/>
              </w:rPr>
              <w:t>,</w:t>
            </w:r>
            <w:r w:rsidRPr="002E46EF">
              <w:rPr>
                <w:color w:val="000000" w:themeColor="text1"/>
                <w:kern w:val="24"/>
                <w:sz w:val="22"/>
                <w:szCs w:val="22"/>
              </w:rPr>
              <w:t xml:space="preserve"> new task orders </w:t>
            </w:r>
            <w:r w:rsidR="00242529">
              <w:rPr>
                <w:color w:val="000000" w:themeColor="text1"/>
                <w:kern w:val="24"/>
                <w:sz w:val="22"/>
                <w:szCs w:val="22"/>
              </w:rPr>
              <w:t xml:space="preserve">that are high-visibility </w:t>
            </w:r>
            <w:r w:rsidRPr="002E46EF">
              <w:rPr>
                <w:color w:val="000000" w:themeColor="text1"/>
                <w:kern w:val="24"/>
                <w:sz w:val="22"/>
                <w:szCs w:val="22"/>
              </w:rPr>
              <w:t xml:space="preserve">often carry the political necessity of delivering quick wins. If this is the case with an agency, collaboration with the EIS </w:t>
            </w:r>
            <w:r w:rsidR="00B415BC">
              <w:rPr>
                <w:color w:val="000000" w:themeColor="text1"/>
                <w:kern w:val="24"/>
                <w:sz w:val="22"/>
                <w:szCs w:val="22"/>
              </w:rPr>
              <w:t>contractor</w:t>
            </w:r>
            <w:r w:rsidRPr="002E46EF">
              <w:rPr>
                <w:color w:val="000000" w:themeColor="text1"/>
                <w:kern w:val="24"/>
                <w:sz w:val="22"/>
                <w:szCs w:val="22"/>
              </w:rPr>
              <w:t>(s) can identify these for delivery early in the transition order sequencing.</w:t>
            </w:r>
          </w:p>
        </w:tc>
      </w:tr>
      <w:tr w:rsidR="00721F18" w:rsidRPr="007C5709" w14:paraId="5E5A3D0C" w14:textId="77777777" w:rsidTr="00AD6F8C">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3235" w:type="dxa"/>
            <w:hideMark/>
          </w:tcPr>
          <w:p w14:paraId="6E8384FC" w14:textId="77777777" w:rsidR="00721F18" w:rsidRPr="007C5709" w:rsidRDefault="00721F18" w:rsidP="00721F18">
            <w:pPr>
              <w:spacing w:line="284" w:lineRule="exact"/>
              <w:rPr>
                <w:b w:val="0"/>
                <w:sz w:val="22"/>
                <w:szCs w:val="22"/>
              </w:rPr>
            </w:pPr>
            <w:r w:rsidRPr="007C5709">
              <w:rPr>
                <w:b w:val="0"/>
                <w:color w:val="000000" w:themeColor="text1"/>
                <w:kern w:val="24"/>
                <w:sz w:val="22"/>
                <w:szCs w:val="22"/>
              </w:rPr>
              <w:t xml:space="preserve">Seasonal or Mission Critical Blackout Periods </w:t>
            </w:r>
          </w:p>
        </w:tc>
        <w:tc>
          <w:tcPr>
            <w:tcW w:w="6115" w:type="dxa"/>
            <w:hideMark/>
          </w:tcPr>
          <w:p w14:paraId="4691B1AE" w14:textId="3C991E41" w:rsidR="00721F18" w:rsidRPr="007C5709" w:rsidRDefault="00721F18" w:rsidP="00123802">
            <w:pPr>
              <w:spacing w:line="284" w:lineRule="exact"/>
              <w:cnfStyle w:val="000000100000" w:firstRow="0" w:lastRow="0" w:firstColumn="0" w:lastColumn="0" w:oddVBand="0" w:evenVBand="0" w:oddHBand="1" w:evenHBand="0" w:firstRowFirstColumn="0" w:firstRowLastColumn="0" w:lastRowFirstColumn="0" w:lastRowLastColumn="0"/>
              <w:rPr>
                <w:sz w:val="22"/>
                <w:szCs w:val="22"/>
              </w:rPr>
            </w:pPr>
            <w:r w:rsidRPr="007C5709">
              <w:rPr>
                <w:color w:val="000000" w:themeColor="text1"/>
                <w:kern w:val="24"/>
                <w:sz w:val="22"/>
                <w:szCs w:val="22"/>
              </w:rPr>
              <w:t xml:space="preserve">Agencies </w:t>
            </w:r>
            <w:r w:rsidR="00123802">
              <w:rPr>
                <w:color w:val="000000" w:themeColor="text1"/>
                <w:kern w:val="24"/>
                <w:sz w:val="22"/>
                <w:szCs w:val="22"/>
              </w:rPr>
              <w:t>with planned</w:t>
            </w:r>
            <w:r w:rsidRPr="007C5709">
              <w:rPr>
                <w:color w:val="000000" w:themeColor="text1"/>
                <w:kern w:val="24"/>
                <w:sz w:val="22"/>
                <w:szCs w:val="22"/>
              </w:rPr>
              <w:t xml:space="preserve"> blackout periods must factor </w:t>
            </w:r>
            <w:r w:rsidR="00123802">
              <w:rPr>
                <w:color w:val="000000" w:themeColor="text1"/>
                <w:kern w:val="24"/>
                <w:sz w:val="22"/>
                <w:szCs w:val="22"/>
              </w:rPr>
              <w:t>these</w:t>
            </w:r>
            <w:r w:rsidRPr="007C5709">
              <w:rPr>
                <w:color w:val="000000" w:themeColor="text1"/>
                <w:kern w:val="24"/>
                <w:sz w:val="22"/>
                <w:szCs w:val="22"/>
              </w:rPr>
              <w:t xml:space="preserve"> timeframes into order placement in order to avoid </w:t>
            </w:r>
            <w:r w:rsidR="00123802">
              <w:rPr>
                <w:color w:val="000000" w:themeColor="text1"/>
                <w:kern w:val="24"/>
                <w:sz w:val="22"/>
                <w:szCs w:val="22"/>
              </w:rPr>
              <w:t>disruptions</w:t>
            </w:r>
            <w:r w:rsidRPr="007C5709">
              <w:rPr>
                <w:color w:val="000000" w:themeColor="text1"/>
                <w:kern w:val="24"/>
                <w:sz w:val="22"/>
                <w:szCs w:val="22"/>
              </w:rPr>
              <w:t>.</w:t>
            </w:r>
          </w:p>
        </w:tc>
      </w:tr>
      <w:tr w:rsidR="00721F18" w:rsidRPr="007C5709" w14:paraId="23EE0DF7" w14:textId="77777777" w:rsidTr="00AD6F8C">
        <w:trPr>
          <w:trHeight w:val="584"/>
        </w:trPr>
        <w:tc>
          <w:tcPr>
            <w:cnfStyle w:val="001000000000" w:firstRow="0" w:lastRow="0" w:firstColumn="1" w:lastColumn="0" w:oddVBand="0" w:evenVBand="0" w:oddHBand="0" w:evenHBand="0" w:firstRowFirstColumn="0" w:firstRowLastColumn="0" w:lastRowFirstColumn="0" w:lastRowLastColumn="0"/>
            <w:tcW w:w="3235" w:type="dxa"/>
            <w:hideMark/>
          </w:tcPr>
          <w:p w14:paraId="46E4D139" w14:textId="77777777" w:rsidR="00721F18" w:rsidRPr="007C5709" w:rsidRDefault="00721F18" w:rsidP="00721F18">
            <w:pPr>
              <w:spacing w:line="284" w:lineRule="exact"/>
              <w:rPr>
                <w:b w:val="0"/>
                <w:sz w:val="22"/>
                <w:szCs w:val="22"/>
              </w:rPr>
            </w:pPr>
            <w:r w:rsidRPr="007C5709">
              <w:rPr>
                <w:b w:val="0"/>
                <w:color w:val="000000" w:themeColor="text1"/>
                <w:kern w:val="24"/>
                <w:sz w:val="22"/>
                <w:szCs w:val="22"/>
              </w:rPr>
              <w:t>Simple Implementations</w:t>
            </w:r>
          </w:p>
        </w:tc>
        <w:tc>
          <w:tcPr>
            <w:tcW w:w="6115" w:type="dxa"/>
            <w:hideMark/>
          </w:tcPr>
          <w:p w14:paraId="533B45B5" w14:textId="6D54FFAE" w:rsidR="00721F18" w:rsidRPr="007C5709" w:rsidRDefault="00721F18" w:rsidP="00123802">
            <w:pPr>
              <w:spacing w:line="284" w:lineRule="exact"/>
              <w:cnfStyle w:val="000000000000" w:firstRow="0" w:lastRow="0" w:firstColumn="0" w:lastColumn="0" w:oddVBand="0" w:evenVBand="0" w:oddHBand="0" w:evenHBand="0" w:firstRowFirstColumn="0" w:firstRowLastColumn="0" w:lastRowFirstColumn="0" w:lastRowLastColumn="0"/>
              <w:rPr>
                <w:sz w:val="22"/>
                <w:szCs w:val="22"/>
              </w:rPr>
            </w:pPr>
            <w:r w:rsidRPr="007C5709">
              <w:rPr>
                <w:color w:val="000000" w:themeColor="text1"/>
                <w:kern w:val="24"/>
                <w:sz w:val="22"/>
                <w:szCs w:val="22"/>
              </w:rPr>
              <w:t xml:space="preserve">Given the guidance that complex implementations should be addressed early, agencies should identify simple implementations and consider </w:t>
            </w:r>
            <w:r w:rsidR="008332E2">
              <w:rPr>
                <w:color w:val="000000" w:themeColor="text1"/>
                <w:kern w:val="24"/>
                <w:sz w:val="22"/>
                <w:szCs w:val="22"/>
              </w:rPr>
              <w:t xml:space="preserve">executing </w:t>
            </w:r>
            <w:r w:rsidR="008332E2" w:rsidRPr="007C5709">
              <w:rPr>
                <w:color w:val="000000" w:themeColor="text1"/>
                <w:kern w:val="24"/>
                <w:sz w:val="22"/>
                <w:szCs w:val="22"/>
              </w:rPr>
              <w:t>these</w:t>
            </w:r>
            <w:r w:rsidRPr="007C5709">
              <w:rPr>
                <w:color w:val="000000" w:themeColor="text1"/>
                <w:kern w:val="24"/>
                <w:sz w:val="22"/>
                <w:szCs w:val="22"/>
              </w:rPr>
              <w:t xml:space="preserve"> as projects in parallel with complex projects, or as “schedule fillers” to </w:t>
            </w:r>
            <w:r w:rsidR="00123802">
              <w:rPr>
                <w:color w:val="000000" w:themeColor="text1"/>
                <w:kern w:val="24"/>
                <w:sz w:val="22"/>
                <w:szCs w:val="22"/>
              </w:rPr>
              <w:t>ensure</w:t>
            </w:r>
            <w:r w:rsidRPr="007C5709">
              <w:rPr>
                <w:color w:val="000000" w:themeColor="text1"/>
                <w:kern w:val="24"/>
                <w:sz w:val="22"/>
                <w:szCs w:val="22"/>
              </w:rPr>
              <w:t xml:space="preserve"> continuous transition progress.</w:t>
            </w:r>
          </w:p>
        </w:tc>
      </w:tr>
      <w:tr w:rsidR="00721F18" w:rsidRPr="007C5709" w14:paraId="71CC49D7" w14:textId="77777777" w:rsidTr="00AD6F8C">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3235" w:type="dxa"/>
            <w:hideMark/>
          </w:tcPr>
          <w:p w14:paraId="7E9A9511" w14:textId="77777777" w:rsidR="00721F18" w:rsidRPr="007C5709" w:rsidRDefault="00721F18" w:rsidP="00721F18">
            <w:pPr>
              <w:spacing w:line="284" w:lineRule="exact"/>
              <w:rPr>
                <w:b w:val="0"/>
                <w:sz w:val="22"/>
                <w:szCs w:val="22"/>
              </w:rPr>
            </w:pPr>
            <w:r w:rsidRPr="007C5709">
              <w:rPr>
                <w:b w:val="0"/>
                <w:color w:val="000000" w:themeColor="text1"/>
                <w:kern w:val="24"/>
                <w:sz w:val="22"/>
                <w:szCs w:val="22"/>
              </w:rPr>
              <w:lastRenderedPageBreak/>
              <w:t>Timing of Budget Availability</w:t>
            </w:r>
          </w:p>
        </w:tc>
        <w:tc>
          <w:tcPr>
            <w:tcW w:w="6115" w:type="dxa"/>
            <w:hideMark/>
          </w:tcPr>
          <w:p w14:paraId="0B55B34D" w14:textId="77777777" w:rsidR="00721F18" w:rsidRPr="007C5709" w:rsidRDefault="00721F18" w:rsidP="00721F18">
            <w:pPr>
              <w:spacing w:line="284" w:lineRule="exact"/>
              <w:cnfStyle w:val="000000100000" w:firstRow="0" w:lastRow="0" w:firstColumn="0" w:lastColumn="0" w:oddVBand="0" w:evenVBand="0" w:oddHBand="1" w:evenHBand="0" w:firstRowFirstColumn="0" w:firstRowLastColumn="0" w:lastRowFirstColumn="0" w:lastRowLastColumn="0"/>
              <w:rPr>
                <w:sz w:val="22"/>
                <w:szCs w:val="22"/>
              </w:rPr>
            </w:pPr>
            <w:r w:rsidRPr="007C5709">
              <w:rPr>
                <w:color w:val="000000" w:themeColor="text1"/>
                <w:kern w:val="24"/>
                <w:sz w:val="22"/>
                <w:szCs w:val="22"/>
              </w:rPr>
              <w:t>Sequencing of orders may be impacted by non-recurring charges and the timing of budget availability to fund these costs.</w:t>
            </w:r>
          </w:p>
        </w:tc>
      </w:tr>
      <w:tr w:rsidR="00721F18" w:rsidRPr="007C5709" w14:paraId="014BDBF0" w14:textId="77777777" w:rsidTr="00AD6F8C">
        <w:trPr>
          <w:trHeight w:val="584"/>
        </w:trPr>
        <w:tc>
          <w:tcPr>
            <w:cnfStyle w:val="001000000000" w:firstRow="0" w:lastRow="0" w:firstColumn="1" w:lastColumn="0" w:oddVBand="0" w:evenVBand="0" w:oddHBand="0" w:evenHBand="0" w:firstRowFirstColumn="0" w:firstRowLastColumn="0" w:lastRowFirstColumn="0" w:lastRowLastColumn="0"/>
            <w:tcW w:w="3235" w:type="dxa"/>
            <w:hideMark/>
          </w:tcPr>
          <w:p w14:paraId="4539B823" w14:textId="77777777" w:rsidR="00721F18" w:rsidRPr="007C5709" w:rsidRDefault="00721F18" w:rsidP="00721F18">
            <w:pPr>
              <w:spacing w:line="284" w:lineRule="exact"/>
              <w:rPr>
                <w:b w:val="0"/>
                <w:sz w:val="22"/>
                <w:szCs w:val="22"/>
              </w:rPr>
            </w:pPr>
            <w:r w:rsidRPr="007C5709">
              <w:rPr>
                <w:b w:val="0"/>
                <w:color w:val="000000" w:themeColor="text1"/>
                <w:kern w:val="24"/>
                <w:sz w:val="22"/>
                <w:szCs w:val="22"/>
              </w:rPr>
              <w:t>Transition Approach</w:t>
            </w:r>
          </w:p>
        </w:tc>
        <w:tc>
          <w:tcPr>
            <w:tcW w:w="6115" w:type="dxa"/>
            <w:hideMark/>
          </w:tcPr>
          <w:p w14:paraId="60E9B82F" w14:textId="5E43A36A" w:rsidR="00721F18" w:rsidRPr="007C5709" w:rsidRDefault="00721F18">
            <w:pPr>
              <w:spacing w:line="284" w:lineRule="exact"/>
              <w:cnfStyle w:val="000000000000" w:firstRow="0" w:lastRow="0" w:firstColumn="0" w:lastColumn="0" w:oddVBand="0" w:evenVBand="0" w:oddHBand="0" w:evenHBand="0" w:firstRowFirstColumn="0" w:firstRowLastColumn="0" w:lastRowFirstColumn="0" w:lastRowLastColumn="0"/>
              <w:rPr>
                <w:sz w:val="22"/>
                <w:szCs w:val="22"/>
              </w:rPr>
            </w:pPr>
            <w:r w:rsidRPr="007C5709">
              <w:rPr>
                <w:color w:val="000000" w:themeColor="text1"/>
                <w:kern w:val="24"/>
                <w:sz w:val="22"/>
                <w:szCs w:val="22"/>
              </w:rPr>
              <w:t xml:space="preserve">There are many different ways an agency can organize the transition: geography, technology, mission, organizational, or a combination of these. The approach should be carefully determined with the </w:t>
            </w:r>
            <w:r w:rsidR="00242529">
              <w:rPr>
                <w:color w:val="000000" w:themeColor="text1"/>
                <w:kern w:val="24"/>
                <w:sz w:val="22"/>
                <w:szCs w:val="22"/>
              </w:rPr>
              <w:t>EIS contract</w:t>
            </w:r>
            <w:r w:rsidR="00B415BC">
              <w:rPr>
                <w:color w:val="000000" w:themeColor="text1"/>
                <w:kern w:val="24"/>
                <w:sz w:val="22"/>
                <w:szCs w:val="22"/>
              </w:rPr>
              <w:t>or</w:t>
            </w:r>
            <w:r w:rsidRPr="007C5709">
              <w:rPr>
                <w:color w:val="000000" w:themeColor="text1"/>
                <w:kern w:val="24"/>
                <w:sz w:val="22"/>
                <w:szCs w:val="22"/>
              </w:rPr>
              <w:t>(s) to ensure a smooth transition.</w:t>
            </w:r>
            <w:r w:rsidR="00803BBD">
              <w:rPr>
                <w:color w:val="000000" w:themeColor="text1"/>
                <w:kern w:val="24"/>
                <w:sz w:val="22"/>
                <w:szCs w:val="22"/>
              </w:rPr>
              <w:t xml:space="preserve"> </w:t>
            </w:r>
            <w:r w:rsidRPr="007C5709">
              <w:rPr>
                <w:rFonts w:eastAsia="Calibri"/>
                <w:color w:val="000000" w:themeColor="text1"/>
                <w:kern w:val="24"/>
                <w:sz w:val="22"/>
                <w:szCs w:val="22"/>
              </w:rPr>
              <w:t>When applying order sequencing against an approach, the team should not overlook simple decisions. For example, with an organizational approach, who is ready to move first?</w:t>
            </w:r>
          </w:p>
        </w:tc>
      </w:tr>
      <w:tr w:rsidR="00846A41" w:rsidRPr="007C5709" w14:paraId="72D84F53" w14:textId="77777777" w:rsidTr="00AD6F8C">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3235" w:type="dxa"/>
          </w:tcPr>
          <w:p w14:paraId="1FB57AD2" w14:textId="3AC43B6B" w:rsidR="00846A41" w:rsidRPr="007A1871" w:rsidRDefault="00846A41" w:rsidP="00721F18">
            <w:pPr>
              <w:spacing w:line="284" w:lineRule="exact"/>
              <w:rPr>
                <w:b w:val="0"/>
                <w:bCs w:val="0"/>
                <w:color w:val="000000" w:themeColor="text1"/>
                <w:kern w:val="24"/>
                <w:sz w:val="22"/>
                <w:szCs w:val="22"/>
              </w:rPr>
            </w:pPr>
            <w:r w:rsidRPr="007A1871">
              <w:rPr>
                <w:b w:val="0"/>
                <w:bCs w:val="0"/>
                <w:color w:val="000000" w:themeColor="text1"/>
                <w:kern w:val="24"/>
                <w:sz w:val="22"/>
                <w:szCs w:val="22"/>
              </w:rPr>
              <w:t>Using Third-Party Contracting Support</w:t>
            </w:r>
          </w:p>
        </w:tc>
        <w:tc>
          <w:tcPr>
            <w:tcW w:w="6115" w:type="dxa"/>
          </w:tcPr>
          <w:p w14:paraId="1035966B" w14:textId="54EEB38E" w:rsidR="00846A41" w:rsidRPr="007C5709" w:rsidRDefault="00846A41">
            <w:pPr>
              <w:spacing w:line="284" w:lineRule="exact"/>
              <w:cnfStyle w:val="000000100000" w:firstRow="0" w:lastRow="0" w:firstColumn="0" w:lastColumn="0" w:oddVBand="0" w:evenVBand="0" w:oddHBand="1" w:evenHBand="0" w:firstRowFirstColumn="0" w:firstRowLastColumn="0" w:lastRowFirstColumn="0" w:lastRowLastColumn="0"/>
              <w:rPr>
                <w:color w:val="000000" w:themeColor="text1"/>
                <w:kern w:val="24"/>
                <w:sz w:val="22"/>
                <w:szCs w:val="22"/>
              </w:rPr>
            </w:pPr>
            <w:r w:rsidRPr="007A1871">
              <w:rPr>
                <w:sz w:val="22"/>
                <w:szCs w:val="22"/>
              </w:rPr>
              <w:t xml:space="preserve">Any agency using third-party contracting support (such as </w:t>
            </w:r>
            <w:r w:rsidR="00BB51E0">
              <w:rPr>
                <w:sz w:val="22"/>
                <w:szCs w:val="22"/>
              </w:rPr>
              <w:t xml:space="preserve">the </w:t>
            </w:r>
            <w:r w:rsidRPr="007A1871">
              <w:rPr>
                <w:sz w:val="22"/>
                <w:szCs w:val="22"/>
              </w:rPr>
              <w:t>B</w:t>
            </w:r>
            <w:r w:rsidR="00BB51E0">
              <w:rPr>
                <w:sz w:val="22"/>
                <w:szCs w:val="22"/>
              </w:rPr>
              <w:t>ureau of Fiscal Service</w:t>
            </w:r>
            <w:r w:rsidR="00782217">
              <w:rPr>
                <w:sz w:val="22"/>
                <w:szCs w:val="22"/>
              </w:rPr>
              <w:t>s</w:t>
            </w:r>
            <w:r w:rsidRPr="007A1871">
              <w:rPr>
                <w:sz w:val="22"/>
                <w:szCs w:val="22"/>
              </w:rPr>
              <w:t xml:space="preserve"> or D</w:t>
            </w:r>
            <w:r w:rsidR="00BB51E0">
              <w:rPr>
                <w:sz w:val="22"/>
                <w:szCs w:val="22"/>
              </w:rPr>
              <w:t>epartment of the Interior</w:t>
            </w:r>
            <w:r w:rsidRPr="007A1871">
              <w:rPr>
                <w:sz w:val="22"/>
                <w:szCs w:val="22"/>
              </w:rPr>
              <w:t>) should account for possible delays in ordering timeframes</w:t>
            </w:r>
          </w:p>
        </w:tc>
      </w:tr>
    </w:tbl>
    <w:p w14:paraId="643FC6B6" w14:textId="77777777" w:rsidR="00721F18" w:rsidRDefault="00721F18" w:rsidP="00721F18">
      <w:pPr>
        <w:rPr>
          <w:sz w:val="22"/>
          <w:szCs w:val="22"/>
        </w:rPr>
      </w:pPr>
    </w:p>
    <w:p w14:paraId="3EA2B578" w14:textId="0E19EE69" w:rsidR="00721F18" w:rsidRDefault="00721F18">
      <w:pPr>
        <w:pStyle w:val="Appendix"/>
        <w:sectPr w:rsidR="00721F18" w:rsidSect="000B708C">
          <w:pgSz w:w="12240" w:h="15840" w:code="1"/>
          <w:pgMar w:top="1440" w:right="1440" w:bottom="1440" w:left="1440" w:header="720" w:footer="720" w:gutter="0"/>
          <w:cols w:space="720"/>
          <w:titlePg/>
          <w:docGrid w:linePitch="360"/>
        </w:sectPr>
      </w:pPr>
    </w:p>
    <w:p w14:paraId="0318837B" w14:textId="6DAF3EF2" w:rsidR="00A846A0" w:rsidRPr="00A23B3F" w:rsidRDefault="00A846A0" w:rsidP="007F1B56">
      <w:pPr>
        <w:pStyle w:val="Appendix"/>
        <w:jc w:val="center"/>
      </w:pPr>
      <w:bookmarkStart w:id="211" w:name="_Toc12525488"/>
      <w:bookmarkStart w:id="212" w:name="_Toc107325319"/>
      <w:r w:rsidRPr="00A23B3F">
        <w:lastRenderedPageBreak/>
        <w:t xml:space="preserve">Appendix </w:t>
      </w:r>
      <w:r>
        <w:t>G</w:t>
      </w:r>
      <w:r w:rsidRPr="00A23B3F">
        <w:t xml:space="preserve"> –</w:t>
      </w:r>
      <w:r>
        <w:t xml:space="preserve"> Cutover Guidance</w:t>
      </w:r>
      <w:bookmarkEnd w:id="211"/>
      <w:bookmarkEnd w:id="212"/>
    </w:p>
    <w:p w14:paraId="2E7A6476" w14:textId="57845304" w:rsidR="009C2E60" w:rsidRPr="007505FE" w:rsidRDefault="00BE2AC6" w:rsidP="00774C8C">
      <w:pPr>
        <w:spacing w:before="240" w:after="60"/>
        <w:rPr>
          <w:bCs/>
          <w:szCs w:val="28"/>
        </w:rPr>
      </w:pPr>
      <w:bookmarkStart w:id="213" w:name="_Overview_1"/>
      <w:bookmarkStart w:id="214" w:name="_Toc341813"/>
      <w:bookmarkEnd w:id="213"/>
      <w:r>
        <w:rPr>
          <w:b/>
          <w:bCs/>
          <w:sz w:val="28"/>
          <w:szCs w:val="28"/>
        </w:rPr>
        <w:t>G.1</w:t>
      </w:r>
      <w:r>
        <w:rPr>
          <w:b/>
          <w:bCs/>
          <w:sz w:val="28"/>
          <w:szCs w:val="28"/>
        </w:rPr>
        <w:tab/>
      </w:r>
      <w:r w:rsidR="009C2E60" w:rsidRPr="00774C8C">
        <w:rPr>
          <w:b/>
          <w:bCs/>
          <w:sz w:val="28"/>
          <w:szCs w:val="28"/>
        </w:rPr>
        <w:t>Overview</w:t>
      </w:r>
      <w:bookmarkEnd w:id="214"/>
    </w:p>
    <w:p w14:paraId="286CDEA8" w14:textId="2D0E7543" w:rsidR="009C2E60" w:rsidRPr="008B58E1" w:rsidRDefault="009C2E60" w:rsidP="009C2E60">
      <w:pPr>
        <w:pStyle w:val="Noblisbodytext"/>
      </w:pPr>
      <w:bookmarkStart w:id="215" w:name="_Toc531704798"/>
      <w:bookmarkStart w:id="216" w:name="_Toc531704799"/>
      <w:bookmarkEnd w:id="215"/>
      <w:bookmarkEnd w:id="216"/>
      <w:r w:rsidRPr="008B58E1">
        <w:t xml:space="preserve">GSA has prepared </w:t>
      </w:r>
      <w:r w:rsidR="00EB33C6">
        <w:t xml:space="preserve">cutover </w:t>
      </w:r>
      <w:r w:rsidRPr="008B58E1">
        <w:t xml:space="preserve">guidance to assist agencies with planning </w:t>
      </w:r>
      <w:r w:rsidR="00EB33C6">
        <w:t xml:space="preserve">the </w:t>
      </w:r>
      <w:r w:rsidRPr="008B58E1">
        <w:t xml:space="preserve">transition of services to EIS. This guidance covers cutover </w:t>
      </w:r>
      <w:r w:rsidR="00EB33C6">
        <w:t xml:space="preserve">or “cut” </w:t>
      </w:r>
      <w:r w:rsidRPr="008B58E1">
        <w:t xml:space="preserve">types, planning considerations, limitations, and risks. </w:t>
      </w:r>
      <w:r w:rsidR="00EB33C6">
        <w:t>P</w:t>
      </w:r>
      <w:r w:rsidRPr="008B58E1">
        <w:t xml:space="preserve">arallel </w:t>
      </w:r>
      <w:r w:rsidR="00EB33C6">
        <w:t>cuts</w:t>
      </w:r>
      <w:r w:rsidRPr="008B58E1">
        <w:t xml:space="preserve"> </w:t>
      </w:r>
      <w:r w:rsidR="00EB33C6">
        <w:t>are</w:t>
      </w:r>
      <w:r w:rsidRPr="008B58E1">
        <w:t xml:space="preserve"> recommended, </w:t>
      </w:r>
      <w:r w:rsidR="00EB33C6">
        <w:t>when</w:t>
      </w:r>
      <w:r w:rsidRPr="008B58E1">
        <w:t xml:space="preserve"> possible, </w:t>
      </w:r>
      <w:r w:rsidR="00EB33C6">
        <w:t xml:space="preserve">in order </w:t>
      </w:r>
      <w:r w:rsidRPr="008B58E1">
        <w:t>to protect mission critical operations.</w:t>
      </w:r>
    </w:p>
    <w:p w14:paraId="73A69A0F" w14:textId="21B03C0A" w:rsidR="009C2E60" w:rsidRPr="008B58E1" w:rsidRDefault="009C2E60" w:rsidP="009C2E60">
      <w:pPr>
        <w:pStyle w:val="Noblisbodytext"/>
      </w:pPr>
      <w:r w:rsidRPr="008B58E1">
        <w:t>The descriptions below are general to most IT/</w:t>
      </w:r>
      <w:r w:rsidR="00913457">
        <w:t>t</w:t>
      </w:r>
      <w:r w:rsidRPr="008B58E1">
        <w:t xml:space="preserve">elecom cutovers for services, circuits, and connections. Not all aspects presented apply to all situations. </w:t>
      </w:r>
      <w:r w:rsidR="00913457">
        <w:t>For example, d</w:t>
      </w:r>
      <w:r w:rsidRPr="008B58E1">
        <w:t xml:space="preserve">ata connection cutovers may require testing of all applications using </w:t>
      </w:r>
      <w:r w:rsidR="00EB33C6">
        <w:t>a new transport</w:t>
      </w:r>
      <w:r w:rsidRPr="008B58E1">
        <w:t xml:space="preserve"> service</w:t>
      </w:r>
      <w:r w:rsidR="00913457">
        <w:t>,</w:t>
      </w:r>
      <w:r w:rsidRPr="008B58E1">
        <w:t xml:space="preserve"> </w:t>
      </w:r>
      <w:r w:rsidR="00EB33C6">
        <w:t>while</w:t>
      </w:r>
      <w:r w:rsidRPr="008B58E1">
        <w:t xml:space="preserve"> </w:t>
      </w:r>
      <w:r w:rsidR="00EB33C6">
        <w:t>v</w:t>
      </w:r>
      <w:r w:rsidRPr="008B58E1">
        <w:t xml:space="preserve">oice </w:t>
      </w:r>
      <w:r w:rsidR="00EB33C6">
        <w:t>c</w:t>
      </w:r>
      <w:r w:rsidRPr="008B58E1">
        <w:t xml:space="preserve">utovers </w:t>
      </w:r>
      <w:r w:rsidR="00EB33C6">
        <w:t>require</w:t>
      </w:r>
      <w:r w:rsidRPr="008B58E1">
        <w:t xml:space="preserve"> </w:t>
      </w:r>
      <w:r w:rsidR="00EB33C6">
        <w:t xml:space="preserve">a different set of </w:t>
      </w:r>
      <w:r w:rsidRPr="008B58E1">
        <w:t>testing considerations.</w:t>
      </w:r>
    </w:p>
    <w:p w14:paraId="59713925" w14:textId="27073780" w:rsidR="009C2E60" w:rsidRPr="007505FE" w:rsidRDefault="00BE2AC6" w:rsidP="00774C8C">
      <w:pPr>
        <w:spacing w:before="240" w:after="60"/>
        <w:rPr>
          <w:bCs/>
          <w:szCs w:val="28"/>
        </w:rPr>
      </w:pPr>
      <w:bookmarkStart w:id="217" w:name="_Toc341815"/>
      <w:r>
        <w:rPr>
          <w:b/>
          <w:bCs/>
          <w:sz w:val="28"/>
          <w:szCs w:val="28"/>
        </w:rPr>
        <w:t>G.2</w:t>
      </w:r>
      <w:r>
        <w:rPr>
          <w:b/>
          <w:bCs/>
          <w:sz w:val="28"/>
          <w:szCs w:val="28"/>
        </w:rPr>
        <w:tab/>
      </w:r>
      <w:r w:rsidR="009C2E60" w:rsidRPr="00774C8C">
        <w:rPr>
          <w:b/>
          <w:bCs/>
          <w:sz w:val="28"/>
          <w:szCs w:val="28"/>
        </w:rPr>
        <w:t>Service Cutover Definitions</w:t>
      </w:r>
      <w:bookmarkEnd w:id="217"/>
    </w:p>
    <w:p w14:paraId="67AA187B" w14:textId="45E6B4BE" w:rsidR="009C2E60" w:rsidRPr="007505FE" w:rsidRDefault="00BE2AC6" w:rsidP="00774C8C">
      <w:pPr>
        <w:spacing w:before="240" w:after="60"/>
      </w:pPr>
      <w:bookmarkStart w:id="218" w:name="_Toc341816"/>
      <w:r>
        <w:rPr>
          <w:b/>
          <w:bCs/>
          <w:i/>
          <w:iCs/>
        </w:rPr>
        <w:t>G.2.1</w:t>
      </w:r>
      <w:r>
        <w:rPr>
          <w:b/>
          <w:bCs/>
          <w:i/>
          <w:iCs/>
        </w:rPr>
        <w:tab/>
      </w:r>
      <w:r w:rsidR="009C2E60" w:rsidRPr="00774C8C">
        <w:rPr>
          <w:b/>
          <w:bCs/>
          <w:i/>
          <w:iCs/>
        </w:rPr>
        <w:t>Hot Cut</w:t>
      </w:r>
      <w:bookmarkEnd w:id="218"/>
    </w:p>
    <w:p w14:paraId="037A10F0" w14:textId="550F1825" w:rsidR="009C2E60" w:rsidRPr="008B58E1" w:rsidRDefault="009C2E60" w:rsidP="009C2E60">
      <w:pPr>
        <w:pStyle w:val="Noblisbodytext"/>
      </w:pPr>
      <w:r w:rsidRPr="008B58E1">
        <w:t xml:space="preserve">A hot cut is a virtually instantaneous replacement of one service with another. For the purposes of EIS, hot cuts can relate to almost any service, including: voice, data, toll-free numbers, local exchange lines, </w:t>
      </w:r>
      <w:r w:rsidR="00215EAC" w:rsidRPr="008B58E1">
        <w:t>Ethernet</w:t>
      </w:r>
      <w:r w:rsidRPr="008B58E1">
        <w:t xml:space="preserve"> and private branch exchange stations. Hot cuts may cause site outages averaging 15 to 30 minutes (</w:t>
      </w:r>
      <w:r w:rsidR="00215EAC">
        <w:t xml:space="preserve">and </w:t>
      </w:r>
      <w:r w:rsidRPr="008B58E1">
        <w:t xml:space="preserve">possibly </w:t>
      </w:r>
      <w:r w:rsidR="00215EAC">
        <w:t>one hour or more</w:t>
      </w:r>
      <w:r w:rsidRPr="008B58E1">
        <w:t xml:space="preserve">), depending on the challenges associated with the order.  </w:t>
      </w:r>
    </w:p>
    <w:p w14:paraId="7CE86A07" w14:textId="77777777" w:rsidR="009C2E60" w:rsidRPr="008B58E1" w:rsidRDefault="009C2E60" w:rsidP="009C2E60">
      <w:pPr>
        <w:pStyle w:val="Noblisbodytext"/>
      </w:pPr>
      <w:r w:rsidRPr="008B58E1">
        <w:t>Examples of situations where agencies consider hot cuts include:</w:t>
      </w:r>
    </w:p>
    <w:p w14:paraId="7B387A23" w14:textId="21181284" w:rsidR="009C2E60" w:rsidRPr="008B58E1" w:rsidRDefault="00215EAC" w:rsidP="000567A5">
      <w:pPr>
        <w:pStyle w:val="Noblisbodytext"/>
        <w:widowControl/>
        <w:numPr>
          <w:ilvl w:val="0"/>
          <w:numId w:val="71"/>
        </w:numPr>
        <w:autoSpaceDE/>
        <w:autoSpaceDN/>
        <w:adjustRightInd/>
      </w:pPr>
      <w:r>
        <w:t>S</w:t>
      </w:r>
      <w:r w:rsidR="009C2E60" w:rsidRPr="008B58E1">
        <w:t xml:space="preserve">wapping dedicated access </w:t>
      </w:r>
      <w:r>
        <w:t>circuits for wide area networks</w:t>
      </w:r>
    </w:p>
    <w:p w14:paraId="40B28AA0" w14:textId="4E2FEAB7" w:rsidR="009C2E60" w:rsidRPr="008B58E1" w:rsidRDefault="00215EAC" w:rsidP="000567A5">
      <w:pPr>
        <w:pStyle w:val="Noblisbodytext"/>
        <w:widowControl/>
        <w:numPr>
          <w:ilvl w:val="0"/>
          <w:numId w:val="71"/>
        </w:numPr>
        <w:autoSpaceDE/>
        <w:autoSpaceDN/>
        <w:adjustRightInd/>
      </w:pPr>
      <w:r>
        <w:t>T</w:t>
      </w:r>
      <w:r w:rsidR="009C2E60" w:rsidRPr="008B58E1">
        <w:t>ransfer</w:t>
      </w:r>
      <w:r>
        <w:t xml:space="preserve">ring </w:t>
      </w:r>
      <w:r w:rsidR="009C2E60" w:rsidRPr="008B58E1">
        <w:t xml:space="preserve">a customer's telephone number and dial tone from the </w:t>
      </w:r>
      <w:r>
        <w:t>I</w:t>
      </w:r>
      <w:r w:rsidR="009C2E60" w:rsidRPr="008B58E1">
        <w:t xml:space="preserve">ncumbent </w:t>
      </w:r>
      <w:r>
        <w:t>L</w:t>
      </w:r>
      <w:r w:rsidR="009C2E60" w:rsidRPr="008B58E1">
        <w:t xml:space="preserve">ocal </w:t>
      </w:r>
      <w:r>
        <w:t>E</w:t>
      </w:r>
      <w:r w:rsidR="009C2E60" w:rsidRPr="008B58E1">
        <w:t xml:space="preserve">xchange </w:t>
      </w:r>
      <w:r>
        <w:t>C</w:t>
      </w:r>
      <w:r w:rsidR="009C2E60" w:rsidRPr="008B58E1">
        <w:t xml:space="preserve">arrier (ILEC) switch to a </w:t>
      </w:r>
      <w:r>
        <w:t>C</w:t>
      </w:r>
      <w:r w:rsidR="009C2E60" w:rsidRPr="008B58E1">
        <w:t>ompetit</w:t>
      </w:r>
      <w:r w:rsidR="009D0A97">
        <w:t>ive</w:t>
      </w:r>
      <w:r w:rsidR="009C2E60" w:rsidRPr="008B58E1">
        <w:t xml:space="preserve"> </w:t>
      </w:r>
      <w:r>
        <w:t>L</w:t>
      </w:r>
      <w:r w:rsidR="009C2E60" w:rsidRPr="008B58E1">
        <w:t xml:space="preserve">ocal </w:t>
      </w:r>
      <w:r>
        <w:t>E</w:t>
      </w:r>
      <w:r w:rsidR="009C2E60" w:rsidRPr="008B58E1">
        <w:t xml:space="preserve">xchange </w:t>
      </w:r>
      <w:r>
        <w:t>Carrier (CLEC) switch</w:t>
      </w:r>
    </w:p>
    <w:p w14:paraId="1C7CE3FC" w14:textId="0A7CA5AA" w:rsidR="009C2E60" w:rsidRPr="008B58E1" w:rsidRDefault="009C2E60" w:rsidP="000567A5">
      <w:pPr>
        <w:pStyle w:val="Noblisbodytext"/>
        <w:widowControl/>
        <w:numPr>
          <w:ilvl w:val="0"/>
          <w:numId w:val="71"/>
        </w:numPr>
        <w:autoSpaceDE/>
        <w:autoSpaceDN/>
        <w:adjustRightInd/>
      </w:pPr>
      <w:r w:rsidRPr="008B58E1">
        <w:t xml:space="preserve">Ethernet upgrades requiring a rehome </w:t>
      </w:r>
    </w:p>
    <w:p w14:paraId="7E42F570" w14:textId="62EDEDB9" w:rsidR="009C2E60" w:rsidRPr="008B58E1" w:rsidRDefault="00215EAC" w:rsidP="000567A5">
      <w:pPr>
        <w:pStyle w:val="Noblisbodytext"/>
        <w:widowControl/>
        <w:numPr>
          <w:ilvl w:val="0"/>
          <w:numId w:val="71"/>
        </w:numPr>
        <w:autoSpaceDE/>
        <w:autoSpaceDN/>
        <w:adjustRightInd/>
      </w:pPr>
      <w:r>
        <w:t>Copper to fiber conversions</w:t>
      </w:r>
      <w:r w:rsidR="009C2E60" w:rsidRPr="008B58E1">
        <w:t xml:space="preserve"> </w:t>
      </w:r>
    </w:p>
    <w:p w14:paraId="69CEC10C" w14:textId="6CAFD8F6" w:rsidR="009C2E60" w:rsidRPr="008B58E1" w:rsidRDefault="00450A37" w:rsidP="000567A5">
      <w:pPr>
        <w:pStyle w:val="Noblisbodytext"/>
        <w:widowControl/>
        <w:numPr>
          <w:ilvl w:val="0"/>
          <w:numId w:val="71"/>
        </w:numPr>
        <w:autoSpaceDE/>
        <w:autoSpaceDN/>
        <w:adjustRightInd/>
      </w:pPr>
      <w:r>
        <w:t>Virtual Local Area Network (</w:t>
      </w:r>
      <w:r w:rsidR="009C2E60" w:rsidRPr="008B58E1">
        <w:t>VLAN</w:t>
      </w:r>
      <w:r>
        <w:t>)</w:t>
      </w:r>
      <w:r w:rsidR="009C2E60" w:rsidRPr="008B58E1">
        <w:t xml:space="preserve"> changes</w:t>
      </w:r>
      <w:r w:rsidR="00215EAC">
        <w:t xml:space="preserve"> </w:t>
      </w:r>
    </w:p>
    <w:p w14:paraId="3BD0D0D6" w14:textId="373F07B5" w:rsidR="009C2E60" w:rsidRPr="008B58E1" w:rsidRDefault="00215EAC" w:rsidP="000567A5">
      <w:pPr>
        <w:pStyle w:val="Noblisbodytext"/>
        <w:widowControl/>
        <w:numPr>
          <w:ilvl w:val="0"/>
          <w:numId w:val="71"/>
        </w:numPr>
        <w:autoSpaceDE/>
        <w:autoSpaceDN/>
        <w:adjustRightInd/>
      </w:pPr>
      <w:r>
        <w:t>N</w:t>
      </w:r>
      <w:r w:rsidR="009C2E60" w:rsidRPr="008B58E1">
        <w:t>ew extensions</w:t>
      </w:r>
      <w:r w:rsidR="00A93307">
        <w:t xml:space="preserve"> and </w:t>
      </w:r>
      <w:r w:rsidR="009C2E60" w:rsidRPr="008B58E1">
        <w:t xml:space="preserve">inside wiring from </w:t>
      </w:r>
      <w:r>
        <w:t>the demarcation point</w:t>
      </w:r>
      <w:r w:rsidR="009C2E60" w:rsidRPr="008B58E1">
        <w:t>.</w:t>
      </w:r>
    </w:p>
    <w:p w14:paraId="54E875A9" w14:textId="4DA1AA63" w:rsidR="009C2E60" w:rsidRPr="007505FE" w:rsidRDefault="00BE2AC6" w:rsidP="00774C8C">
      <w:pPr>
        <w:spacing w:before="240" w:after="60"/>
      </w:pPr>
      <w:bookmarkStart w:id="219" w:name="_Toc341817"/>
      <w:r>
        <w:rPr>
          <w:b/>
          <w:bCs/>
          <w:i/>
          <w:iCs/>
        </w:rPr>
        <w:t>G.2.2</w:t>
      </w:r>
      <w:r>
        <w:rPr>
          <w:b/>
          <w:bCs/>
          <w:i/>
          <w:iCs/>
        </w:rPr>
        <w:tab/>
      </w:r>
      <w:r w:rsidR="009C2E60" w:rsidRPr="00774C8C">
        <w:rPr>
          <w:b/>
          <w:bCs/>
          <w:i/>
          <w:iCs/>
        </w:rPr>
        <w:t>Parallel Cut</w:t>
      </w:r>
      <w:bookmarkEnd w:id="219"/>
    </w:p>
    <w:p w14:paraId="74F6BF04" w14:textId="539BD12B" w:rsidR="009C2E60" w:rsidRPr="008B58E1" w:rsidRDefault="009C2E60" w:rsidP="009C2E60">
      <w:pPr>
        <w:pStyle w:val="Noblisbodytext"/>
      </w:pPr>
      <w:r w:rsidRPr="008B58E1">
        <w:t xml:space="preserve">A parallel cut leaves the legacy system functional until the new system is installed and determined to be acceptable. This type of circuit activation can occur during regular business hours since there is no disruption to the existing service. Once the agency or contractor confirms the new circuit is functioning properly, traffic can be cutover to </w:t>
      </w:r>
      <w:r w:rsidR="004A5F7E">
        <w:t>a</w:t>
      </w:r>
      <w:r w:rsidRPr="008B58E1">
        <w:t xml:space="preserve"> </w:t>
      </w:r>
      <w:r w:rsidR="004A5F7E">
        <w:t>new circuit through routing changes,</w:t>
      </w:r>
      <w:r w:rsidRPr="008B58E1">
        <w:t xml:space="preserve"> either all at once or in segments. The current service then remains connected in a standby mode for some </w:t>
      </w:r>
      <w:r w:rsidR="004A5F7E">
        <w:t xml:space="preserve">period of </w:t>
      </w:r>
      <w:r w:rsidRPr="008B58E1">
        <w:t xml:space="preserve">time (24-96 hours) in case of failure of the new service.  </w:t>
      </w:r>
    </w:p>
    <w:p w14:paraId="390AE880" w14:textId="4D95DCF3" w:rsidR="009C2E60" w:rsidRPr="008B58E1" w:rsidRDefault="009C2E60" w:rsidP="009C2E60">
      <w:pPr>
        <w:pStyle w:val="Noblisbodytext"/>
      </w:pPr>
      <w:r w:rsidRPr="008B58E1">
        <w:t xml:space="preserve">Parallel cuts require equipment space for the new service, or additional equipment </w:t>
      </w:r>
      <w:r w:rsidR="004A5F7E">
        <w:t xml:space="preserve">to be </w:t>
      </w:r>
      <w:r w:rsidRPr="008B58E1">
        <w:t>installed before scheduled test event</w:t>
      </w:r>
      <w:r w:rsidR="004A5F7E">
        <w:t>s</w:t>
      </w:r>
      <w:r w:rsidRPr="008B58E1">
        <w:t xml:space="preserve">. </w:t>
      </w:r>
      <w:r w:rsidR="004A5F7E">
        <w:t>D</w:t>
      </w:r>
      <w:r w:rsidRPr="008B58E1">
        <w:t xml:space="preserve">isconnect of the old service is typically scheduled days or weeks ahead and will often be performed automatically at the scheduled time, </w:t>
      </w:r>
      <w:r w:rsidRPr="008B58E1">
        <w:lastRenderedPageBreak/>
        <w:t>unless cancelled. Agencies should separate activation and disconnect by at least 24-48 hours to avoid loss of service.</w:t>
      </w:r>
    </w:p>
    <w:p w14:paraId="255D6FEF" w14:textId="1A62AD10" w:rsidR="009C2E60" w:rsidRPr="007505FE" w:rsidRDefault="00952DFB" w:rsidP="00774C8C">
      <w:pPr>
        <w:spacing w:before="240" w:after="60"/>
        <w:rPr>
          <w:bCs/>
          <w:szCs w:val="28"/>
        </w:rPr>
      </w:pPr>
      <w:bookmarkStart w:id="220" w:name="_Toc531704804"/>
      <w:bookmarkStart w:id="221" w:name="_Toc531704805"/>
      <w:bookmarkStart w:id="222" w:name="_Toc531704806"/>
      <w:bookmarkStart w:id="223" w:name="_Toc531704807"/>
      <w:bookmarkStart w:id="224" w:name="_Toc341818"/>
      <w:bookmarkEnd w:id="220"/>
      <w:bookmarkEnd w:id="221"/>
      <w:bookmarkEnd w:id="222"/>
      <w:bookmarkEnd w:id="223"/>
      <w:r>
        <w:rPr>
          <w:b/>
          <w:bCs/>
          <w:sz w:val="28"/>
          <w:szCs w:val="28"/>
        </w:rPr>
        <w:t>G.3</w:t>
      </w:r>
      <w:r>
        <w:rPr>
          <w:b/>
          <w:bCs/>
          <w:sz w:val="28"/>
          <w:szCs w:val="28"/>
        </w:rPr>
        <w:tab/>
      </w:r>
      <w:r w:rsidR="009C2E60" w:rsidRPr="00774C8C">
        <w:rPr>
          <w:b/>
          <w:bCs/>
          <w:sz w:val="28"/>
          <w:szCs w:val="28"/>
        </w:rPr>
        <w:t>Considerations</w:t>
      </w:r>
      <w:bookmarkEnd w:id="224"/>
    </w:p>
    <w:p w14:paraId="0C9BF846" w14:textId="50BB8A7C" w:rsidR="009C2E60" w:rsidRPr="008B58E1" w:rsidRDefault="009C2E60" w:rsidP="009C2E60">
      <w:pPr>
        <w:pStyle w:val="Noblisbodytext"/>
      </w:pPr>
      <w:r w:rsidRPr="008B58E1">
        <w:t xml:space="preserve">Cutovers demand early attention from agency telecommunications managers, as telecommunications contractors offer a wide range of </w:t>
      </w:r>
      <w:r w:rsidR="002A32E6">
        <w:t>approaches</w:t>
      </w:r>
      <w:r w:rsidRPr="008B58E1">
        <w:t xml:space="preserve">. Agencies should balance their mission requirements and budget with physical limitations, cost, and desired user experience. Cutovers should be properly planned and executed using the cutover phases outlined </w:t>
      </w:r>
      <w:r w:rsidR="009F0DA8">
        <w:t>below</w:t>
      </w:r>
      <w:r w:rsidRPr="008B58E1">
        <w:t xml:space="preserve"> to minimize transition delays and improve the likelihood of cutover success. </w:t>
      </w:r>
    </w:p>
    <w:p w14:paraId="56903DBD" w14:textId="556A8603" w:rsidR="009C2E60" w:rsidRPr="007505FE" w:rsidRDefault="00952DFB" w:rsidP="00774C8C">
      <w:pPr>
        <w:spacing w:before="240" w:after="60"/>
      </w:pPr>
      <w:bookmarkStart w:id="225" w:name="_Toc531704809"/>
      <w:bookmarkStart w:id="226" w:name="_Toc341819"/>
      <w:bookmarkEnd w:id="225"/>
      <w:r>
        <w:rPr>
          <w:b/>
          <w:bCs/>
          <w:i/>
          <w:iCs/>
        </w:rPr>
        <w:t>G.3.1</w:t>
      </w:r>
      <w:r>
        <w:rPr>
          <w:b/>
          <w:bCs/>
          <w:i/>
          <w:iCs/>
        </w:rPr>
        <w:tab/>
      </w:r>
      <w:r w:rsidR="009C2E60" w:rsidRPr="00774C8C">
        <w:rPr>
          <w:b/>
          <w:bCs/>
          <w:i/>
          <w:iCs/>
        </w:rPr>
        <w:t>Physical Limitations</w:t>
      </w:r>
      <w:bookmarkEnd w:id="226"/>
    </w:p>
    <w:p w14:paraId="769D7138" w14:textId="1463FFD4" w:rsidR="009C2E60" w:rsidRPr="008B58E1" w:rsidRDefault="009C2E60" w:rsidP="009C2E60">
      <w:pPr>
        <w:pStyle w:val="Noblisbodytext"/>
      </w:pPr>
      <w:r w:rsidRPr="008B58E1">
        <w:t xml:space="preserve">In situations where physical capacity will not allow for parallel services or equipment to be installed, a hot cut may be the only alternative. An example would be the reuse of local access in locations where new access cannot be physically provided.  </w:t>
      </w:r>
    </w:p>
    <w:p w14:paraId="110D7153" w14:textId="7BC59210" w:rsidR="009C2E60" w:rsidRPr="008B58E1" w:rsidRDefault="009C2E60" w:rsidP="009C2E60">
      <w:pPr>
        <w:pStyle w:val="Noblisbodytext"/>
      </w:pPr>
      <w:r w:rsidRPr="008B58E1">
        <w:t xml:space="preserve">In some </w:t>
      </w:r>
      <w:r w:rsidR="008541A9" w:rsidRPr="008B58E1">
        <w:t>cases,</w:t>
      </w:r>
      <w:r w:rsidRPr="008B58E1">
        <w:t xml:space="preserve"> the contractor may be able to provide a temporary or backup wireless connection for the cutover period to allow parallel operations. </w:t>
      </w:r>
    </w:p>
    <w:p w14:paraId="4BC139EB" w14:textId="47D50F31" w:rsidR="009C2E60" w:rsidRPr="007505FE" w:rsidRDefault="00952DFB" w:rsidP="00774C8C">
      <w:pPr>
        <w:spacing w:before="240" w:after="60"/>
      </w:pPr>
      <w:bookmarkStart w:id="227" w:name="_Toc341820"/>
      <w:r>
        <w:rPr>
          <w:b/>
          <w:bCs/>
          <w:i/>
          <w:iCs/>
        </w:rPr>
        <w:t>G.3.2</w:t>
      </w:r>
      <w:r>
        <w:rPr>
          <w:b/>
          <w:bCs/>
          <w:i/>
          <w:iCs/>
        </w:rPr>
        <w:tab/>
      </w:r>
      <w:r w:rsidR="009C2E60" w:rsidRPr="00774C8C">
        <w:rPr>
          <w:b/>
          <w:bCs/>
          <w:i/>
          <w:iCs/>
        </w:rPr>
        <w:t>Cost</w:t>
      </w:r>
      <w:bookmarkEnd w:id="227"/>
    </w:p>
    <w:p w14:paraId="4ED7D220" w14:textId="0B23EDB4" w:rsidR="009C2E60" w:rsidRPr="008B58E1" w:rsidRDefault="009C2E60" w:rsidP="009C2E60">
      <w:pPr>
        <w:pStyle w:val="Noblisbodytext"/>
      </w:pPr>
      <w:r w:rsidRPr="008B58E1">
        <w:t xml:space="preserve">Agencies should include the costs associated with </w:t>
      </w:r>
      <w:r w:rsidR="00A93307">
        <w:t xml:space="preserve">the risk of </w:t>
      </w:r>
      <w:r w:rsidRPr="008B58E1">
        <w:t xml:space="preserve">service loss in their cost evaluation.  While a parallel cut can be more expensive up-front, the difference may be insignificant when considering the cost impact of a disruption of services to mission critical operations. </w:t>
      </w:r>
    </w:p>
    <w:p w14:paraId="48A4E2BA" w14:textId="0E320ADC" w:rsidR="009C2E60" w:rsidRPr="007505FE" w:rsidRDefault="00952DFB" w:rsidP="00774C8C">
      <w:pPr>
        <w:spacing w:before="240" w:after="60"/>
      </w:pPr>
      <w:bookmarkStart w:id="228" w:name="_Toc341821"/>
      <w:r>
        <w:rPr>
          <w:b/>
          <w:bCs/>
          <w:i/>
          <w:iCs/>
        </w:rPr>
        <w:t>G.3.3</w:t>
      </w:r>
      <w:r>
        <w:rPr>
          <w:b/>
          <w:bCs/>
          <w:i/>
          <w:iCs/>
        </w:rPr>
        <w:tab/>
      </w:r>
      <w:r w:rsidR="009C2E60" w:rsidRPr="00774C8C">
        <w:rPr>
          <w:b/>
          <w:bCs/>
          <w:i/>
          <w:iCs/>
        </w:rPr>
        <w:t>User Experience</w:t>
      </w:r>
      <w:bookmarkEnd w:id="228"/>
    </w:p>
    <w:p w14:paraId="789ACFE2" w14:textId="22EBA20F" w:rsidR="009C2E60" w:rsidRPr="008B58E1" w:rsidRDefault="009C2E60" w:rsidP="009C2E60">
      <w:pPr>
        <w:pStyle w:val="Noblisbodytext"/>
      </w:pPr>
      <w:r w:rsidRPr="008B58E1">
        <w:t>When upgrading from an old or expiring technology, sometimes it</w:t>
      </w:r>
      <w:r w:rsidR="00A93307">
        <w:t xml:space="preserve"> i</w:t>
      </w:r>
      <w:r w:rsidRPr="008B58E1">
        <w:t xml:space="preserve">s advisable not to permit parallel operations, as users tend to remain on the old service simply because they are comfortable. In </w:t>
      </w:r>
      <w:r w:rsidR="005B59F0">
        <w:t xml:space="preserve">a </w:t>
      </w:r>
      <w:r w:rsidRPr="008B58E1">
        <w:t xml:space="preserve">hot cut to new technology, special care must be taken to provide a fallback plan should the new technology fail to meet requirements or otherwise disrupt operations.  </w:t>
      </w:r>
    </w:p>
    <w:p w14:paraId="66261AE5" w14:textId="03437CEC" w:rsidR="009C2E60" w:rsidRPr="00774C8C" w:rsidRDefault="00952DFB" w:rsidP="00774C8C">
      <w:pPr>
        <w:spacing w:before="240" w:after="60"/>
        <w:rPr>
          <w:b/>
          <w:bCs/>
          <w:i/>
          <w:iCs/>
        </w:rPr>
      </w:pPr>
      <w:r>
        <w:rPr>
          <w:b/>
          <w:bCs/>
          <w:i/>
          <w:iCs/>
        </w:rPr>
        <w:t>G.</w:t>
      </w:r>
      <w:r w:rsidR="009C2E60" w:rsidRPr="00774C8C">
        <w:rPr>
          <w:b/>
          <w:bCs/>
          <w:i/>
          <w:iCs/>
        </w:rPr>
        <w:t>3.4</w:t>
      </w:r>
      <w:r>
        <w:rPr>
          <w:b/>
          <w:bCs/>
          <w:i/>
          <w:iCs/>
        </w:rPr>
        <w:tab/>
      </w:r>
      <w:r w:rsidR="009C2E60" w:rsidRPr="00774C8C">
        <w:rPr>
          <w:b/>
          <w:bCs/>
          <w:i/>
          <w:iCs/>
        </w:rPr>
        <w:t>Coordination of Multiple Providers</w:t>
      </w:r>
    </w:p>
    <w:p w14:paraId="5EE29E87" w14:textId="4907A6DF" w:rsidR="009C2E60" w:rsidRPr="008B58E1" w:rsidRDefault="009C2E60" w:rsidP="009C2E60">
      <w:pPr>
        <w:pStyle w:val="Noblisbodytext"/>
      </w:pPr>
      <w:r w:rsidRPr="008B58E1">
        <w:t xml:space="preserve">EIS contractors may outsource work to other providers, thereby increasing the need for coordination across multiple parties at multiple levels. Agencies should define cutover requirements in the FO solicitation and include language that requires </w:t>
      </w:r>
      <w:r w:rsidR="004C1837">
        <w:t>communication</w:t>
      </w:r>
      <w:r w:rsidRPr="008B58E1">
        <w:t xml:space="preserve"> of requirements to all providers.</w:t>
      </w:r>
    </w:p>
    <w:p w14:paraId="36E88AFE" w14:textId="77777777" w:rsidR="009C2E60" w:rsidRPr="008B58E1" w:rsidRDefault="009C2E60" w:rsidP="000567A5">
      <w:pPr>
        <w:pStyle w:val="ListParagraph"/>
        <w:widowControl/>
        <w:numPr>
          <w:ilvl w:val="0"/>
          <w:numId w:val="59"/>
        </w:numPr>
        <w:autoSpaceDE/>
        <w:autoSpaceDN/>
        <w:adjustRightInd/>
        <w:spacing w:after="200" w:line="276" w:lineRule="auto"/>
      </w:pPr>
      <w:r w:rsidRPr="008B58E1">
        <w:t>Depending on the contractor, a cutover may require multiple service orders, which must be correlated within the contractor’s system and coordinated between providers.</w:t>
      </w:r>
    </w:p>
    <w:p w14:paraId="122905F9" w14:textId="7C475830" w:rsidR="009C2E60" w:rsidRDefault="009C2E60" w:rsidP="000567A5">
      <w:pPr>
        <w:pStyle w:val="ListParagraph"/>
        <w:widowControl/>
        <w:numPr>
          <w:ilvl w:val="0"/>
          <w:numId w:val="59"/>
        </w:numPr>
        <w:autoSpaceDE/>
        <w:autoSpaceDN/>
        <w:adjustRightInd/>
        <w:spacing w:after="200" w:line="276" w:lineRule="auto"/>
      </w:pPr>
      <w:r w:rsidRPr="008B58E1">
        <w:t>Processes by contractor may vary based on volume of work. For example, many contractors will require project treatment for a group of orders; others will classify orders as “batch cuts,” meaning orders submitted as part of the batch are held until a critical mass of orders is reached.</w:t>
      </w:r>
    </w:p>
    <w:p w14:paraId="341D1DD3" w14:textId="6D747757" w:rsidR="00867BE2" w:rsidRPr="00894010" w:rsidRDefault="00867BE2" w:rsidP="00894010">
      <w:pPr>
        <w:pStyle w:val="ListParagraph"/>
        <w:widowControl/>
        <w:autoSpaceDE/>
        <w:autoSpaceDN/>
        <w:adjustRightInd/>
        <w:spacing w:after="200" w:line="276" w:lineRule="auto"/>
      </w:pPr>
    </w:p>
    <w:p w14:paraId="4AD6D0D0" w14:textId="4F1C114C" w:rsidR="009C2E60" w:rsidRPr="00774C8C" w:rsidRDefault="00952DFB" w:rsidP="00774C8C">
      <w:pPr>
        <w:spacing w:before="240" w:after="60"/>
        <w:rPr>
          <w:b/>
          <w:bCs/>
          <w:i/>
          <w:iCs/>
        </w:rPr>
      </w:pPr>
      <w:r>
        <w:rPr>
          <w:b/>
          <w:bCs/>
          <w:i/>
          <w:iCs/>
        </w:rPr>
        <w:lastRenderedPageBreak/>
        <w:t>G.</w:t>
      </w:r>
      <w:r w:rsidR="009C2E60" w:rsidRPr="00774C8C">
        <w:rPr>
          <w:b/>
          <w:bCs/>
          <w:i/>
          <w:iCs/>
        </w:rPr>
        <w:t>3.5</w:t>
      </w:r>
      <w:r>
        <w:rPr>
          <w:b/>
          <w:bCs/>
          <w:i/>
          <w:iCs/>
        </w:rPr>
        <w:tab/>
      </w:r>
      <w:r w:rsidR="009C2E60" w:rsidRPr="00774C8C">
        <w:rPr>
          <w:b/>
          <w:bCs/>
          <w:i/>
          <w:iCs/>
        </w:rPr>
        <w:t>Site Location</w:t>
      </w:r>
    </w:p>
    <w:p w14:paraId="2E158D9C" w14:textId="7C8FDFA2" w:rsidR="009C2E60" w:rsidRPr="008B58E1" w:rsidRDefault="009C2E60" w:rsidP="009C2E60">
      <w:pPr>
        <w:spacing w:after="120"/>
      </w:pPr>
      <w:r w:rsidRPr="008B58E1">
        <w:t>Site location may also impact the complexity of the transition and present a risk to service transition.</w:t>
      </w:r>
    </w:p>
    <w:p w14:paraId="0BE66F8B" w14:textId="77777777" w:rsidR="009C2E60" w:rsidRPr="008B58E1" w:rsidRDefault="009C2E60" w:rsidP="000567A5">
      <w:pPr>
        <w:pStyle w:val="ListParagraph"/>
        <w:widowControl/>
        <w:numPr>
          <w:ilvl w:val="0"/>
          <w:numId w:val="59"/>
        </w:numPr>
        <w:autoSpaceDE/>
        <w:autoSpaceDN/>
        <w:adjustRightInd/>
        <w:spacing w:after="200" w:line="276" w:lineRule="auto"/>
      </w:pPr>
      <w:r w:rsidRPr="008B58E1">
        <w:t>Cutover processes often vary depending on the geographic area. Agencies cannot assume that a process used by a contractor in one geographic area will apply to that same contractor in another geographic area.</w:t>
      </w:r>
    </w:p>
    <w:p w14:paraId="2251E11E" w14:textId="48C75FA1" w:rsidR="009C2E60" w:rsidRPr="008B58E1" w:rsidRDefault="009C2E60" w:rsidP="000567A5">
      <w:pPr>
        <w:pStyle w:val="ListParagraph"/>
        <w:widowControl/>
        <w:numPr>
          <w:ilvl w:val="0"/>
          <w:numId w:val="59"/>
        </w:numPr>
        <w:autoSpaceDE/>
        <w:autoSpaceDN/>
        <w:adjustRightInd/>
        <w:spacing w:after="200" w:line="276" w:lineRule="auto"/>
      </w:pPr>
      <w:r w:rsidRPr="008B58E1">
        <w:t xml:space="preserve">Unmanned sites </w:t>
      </w:r>
      <w:r w:rsidR="004C1837">
        <w:t xml:space="preserve">may </w:t>
      </w:r>
      <w:r w:rsidRPr="008B58E1">
        <w:t xml:space="preserve">require agency </w:t>
      </w:r>
      <w:r w:rsidR="004C1837">
        <w:t xml:space="preserve">escort or </w:t>
      </w:r>
      <w:r w:rsidR="00241C4A">
        <w:t xml:space="preserve">other means of </w:t>
      </w:r>
      <w:r w:rsidR="004C1837">
        <w:t xml:space="preserve">providing site access to contractor </w:t>
      </w:r>
      <w:r w:rsidRPr="008B58E1">
        <w:t xml:space="preserve">personnel. </w:t>
      </w:r>
      <w:r w:rsidR="004C1837">
        <w:t>Lack of contractor access</w:t>
      </w:r>
      <w:r w:rsidRPr="008B58E1">
        <w:t xml:space="preserve"> may result in cutover delays, cancellations, and contractor charges.</w:t>
      </w:r>
    </w:p>
    <w:p w14:paraId="3A360986" w14:textId="36FFB9A9" w:rsidR="009C2E60" w:rsidRPr="008B58E1" w:rsidRDefault="00241C4A" w:rsidP="000567A5">
      <w:pPr>
        <w:pStyle w:val="ListParagraph"/>
        <w:widowControl/>
        <w:numPr>
          <w:ilvl w:val="0"/>
          <w:numId w:val="59"/>
        </w:numPr>
        <w:autoSpaceDE/>
        <w:autoSpaceDN/>
        <w:adjustRightInd/>
        <w:spacing w:after="200" w:line="276" w:lineRule="auto"/>
      </w:pPr>
      <w:r>
        <w:t>A</w:t>
      </w:r>
      <w:r w:rsidR="009C2E60" w:rsidRPr="008B58E1">
        <w:t xml:space="preserve"> best practice </w:t>
      </w:r>
      <w:r>
        <w:t xml:space="preserve">is </w:t>
      </w:r>
      <w:r w:rsidR="009C2E60" w:rsidRPr="008B58E1">
        <w:t xml:space="preserve">to have </w:t>
      </w:r>
      <w:r>
        <w:t xml:space="preserve">agency </w:t>
      </w:r>
      <w:r w:rsidR="009C2E60" w:rsidRPr="008B58E1">
        <w:t>personnel available on-site to reboot and/or reconfigure equipment.</w:t>
      </w:r>
    </w:p>
    <w:p w14:paraId="46183A69" w14:textId="35D4422A" w:rsidR="009C2E60" w:rsidRPr="007505FE" w:rsidRDefault="00952DFB" w:rsidP="00774C8C">
      <w:pPr>
        <w:spacing w:before="240" w:after="60"/>
        <w:rPr>
          <w:bCs/>
          <w:szCs w:val="28"/>
        </w:rPr>
      </w:pPr>
      <w:bookmarkStart w:id="229" w:name="_Toc341822"/>
      <w:r>
        <w:rPr>
          <w:b/>
          <w:bCs/>
          <w:sz w:val="28"/>
          <w:szCs w:val="28"/>
        </w:rPr>
        <w:t>G.4</w:t>
      </w:r>
      <w:r>
        <w:rPr>
          <w:b/>
          <w:bCs/>
          <w:sz w:val="28"/>
          <w:szCs w:val="28"/>
        </w:rPr>
        <w:tab/>
      </w:r>
      <w:r w:rsidR="009C2E60" w:rsidRPr="00774C8C">
        <w:rPr>
          <w:b/>
          <w:bCs/>
          <w:sz w:val="28"/>
          <w:szCs w:val="28"/>
        </w:rPr>
        <w:t>Risks and Mitigation Strategies</w:t>
      </w:r>
      <w:bookmarkEnd w:id="229"/>
    </w:p>
    <w:p w14:paraId="2A85BB18" w14:textId="47466A38" w:rsidR="009C2E60" w:rsidRPr="008B58E1" w:rsidRDefault="009C2E60" w:rsidP="00E06E16">
      <w:pPr>
        <w:spacing w:after="120"/>
      </w:pPr>
      <w:r w:rsidRPr="008B58E1">
        <w:t xml:space="preserve">Since the most critical risk to an agency is loss of service, a parallel cut should be used </w:t>
      </w:r>
      <w:r w:rsidR="00243982">
        <w:t>whenever</w:t>
      </w:r>
      <w:r w:rsidR="00243982" w:rsidRPr="008B58E1">
        <w:t xml:space="preserve"> </w:t>
      </w:r>
      <w:r w:rsidRPr="008B58E1">
        <w:t xml:space="preserve">possible. Coordination among multiple contractors, locations, and </w:t>
      </w:r>
      <w:r w:rsidR="00243982">
        <w:t xml:space="preserve">involved </w:t>
      </w:r>
      <w:r w:rsidRPr="008B58E1">
        <w:t xml:space="preserve">processes may also contribute to the complexity of </w:t>
      </w:r>
      <w:r w:rsidR="00243982">
        <w:t>a</w:t>
      </w:r>
      <w:r w:rsidR="00243982" w:rsidRPr="008B58E1">
        <w:t xml:space="preserve"> </w:t>
      </w:r>
      <w:r w:rsidRPr="008B58E1">
        <w:t xml:space="preserve">service transition and present a risk to </w:t>
      </w:r>
      <w:r w:rsidR="00243982">
        <w:t>agencies</w:t>
      </w:r>
      <w:r w:rsidRPr="008B58E1">
        <w:t>.</w:t>
      </w:r>
      <w:r w:rsidR="00243982">
        <w:t xml:space="preserve"> </w:t>
      </w:r>
      <w:r w:rsidRPr="008B58E1">
        <w:t xml:space="preserve">Table </w:t>
      </w:r>
      <w:r w:rsidR="00450A37">
        <w:t>2</w:t>
      </w:r>
      <w:r w:rsidR="00450A37" w:rsidRPr="008B58E1">
        <w:t xml:space="preserve"> </w:t>
      </w:r>
      <w:r w:rsidRPr="008B58E1">
        <w:t xml:space="preserve">identifies </w:t>
      </w:r>
      <w:r w:rsidR="00243982">
        <w:t>potential r</w:t>
      </w:r>
      <w:r w:rsidR="00243982" w:rsidRPr="008B58E1">
        <w:t xml:space="preserve">isks </w:t>
      </w:r>
      <w:r w:rsidRPr="008B58E1">
        <w:t xml:space="preserve">and </w:t>
      </w:r>
      <w:r w:rsidR="00243982">
        <w:t>m</w:t>
      </w:r>
      <w:r w:rsidR="00243982" w:rsidRPr="008B58E1">
        <w:t xml:space="preserve">itigation </w:t>
      </w:r>
      <w:r w:rsidR="00243982">
        <w:t>s</w:t>
      </w:r>
      <w:r w:rsidR="00243982" w:rsidRPr="008B58E1">
        <w:t>trategies</w:t>
      </w:r>
      <w:r w:rsidRPr="008B58E1">
        <w:t>.</w:t>
      </w:r>
    </w:p>
    <w:p w14:paraId="60A92617" w14:textId="02D066DC" w:rsidR="000729AB" w:rsidRPr="00774C8C" w:rsidRDefault="003C6FC8" w:rsidP="000729AB">
      <w:pPr>
        <w:pStyle w:val="Caption"/>
        <w:keepNext/>
        <w:jc w:val="center"/>
        <w:rPr>
          <w:b w:val="0"/>
          <w:sz w:val="22"/>
          <w:szCs w:val="18"/>
        </w:rPr>
      </w:pPr>
      <w:bookmarkStart w:id="230" w:name="_Hlk8253383"/>
      <w:r w:rsidRPr="00774C8C">
        <w:rPr>
          <w:b w:val="0"/>
          <w:sz w:val="22"/>
          <w:szCs w:val="18"/>
        </w:rPr>
        <w:t xml:space="preserve">Table </w:t>
      </w:r>
      <w:r w:rsidR="00952DFB" w:rsidRPr="00774C8C">
        <w:rPr>
          <w:b w:val="0"/>
          <w:sz w:val="22"/>
          <w:szCs w:val="18"/>
        </w:rPr>
        <w:t>G</w:t>
      </w:r>
      <w:r w:rsidR="00DB1104">
        <w:rPr>
          <w:b w:val="0"/>
          <w:sz w:val="22"/>
          <w:szCs w:val="18"/>
        </w:rPr>
        <w:t>-</w:t>
      </w:r>
      <w:r w:rsidR="00952DFB" w:rsidRPr="00774C8C">
        <w:rPr>
          <w:b w:val="0"/>
          <w:sz w:val="22"/>
          <w:szCs w:val="18"/>
        </w:rPr>
        <w:t>1</w:t>
      </w:r>
      <w:r w:rsidRPr="00774C8C">
        <w:rPr>
          <w:b w:val="0"/>
          <w:sz w:val="22"/>
          <w:szCs w:val="18"/>
        </w:rPr>
        <w:t>.</w:t>
      </w:r>
      <w:r w:rsidR="000729AB" w:rsidRPr="00774C8C">
        <w:rPr>
          <w:b w:val="0"/>
          <w:sz w:val="22"/>
          <w:szCs w:val="18"/>
        </w:rPr>
        <w:t xml:space="preserve"> </w:t>
      </w:r>
      <w:r w:rsidR="000729AB" w:rsidRPr="00774C8C">
        <w:rPr>
          <w:b w:val="0"/>
          <w:i/>
          <w:sz w:val="22"/>
          <w:szCs w:val="18"/>
        </w:rPr>
        <w:t>Risks and Mitigation Strategies</w:t>
      </w:r>
    </w:p>
    <w:tbl>
      <w:tblPr>
        <w:tblStyle w:val="TableGrid"/>
        <w:tblW w:w="9355" w:type="dxa"/>
        <w:tblLook w:val="04A0" w:firstRow="1" w:lastRow="0" w:firstColumn="1" w:lastColumn="0" w:noHBand="0" w:noVBand="1"/>
      </w:tblPr>
      <w:tblGrid>
        <w:gridCol w:w="4495"/>
        <w:gridCol w:w="4860"/>
      </w:tblGrid>
      <w:tr w:rsidR="009C2E60" w:rsidRPr="00E27AC3" w14:paraId="299D0E51" w14:textId="77777777" w:rsidTr="00ED2CD0">
        <w:trPr>
          <w:tblHeader/>
        </w:trPr>
        <w:tc>
          <w:tcPr>
            <w:tcW w:w="4495" w:type="dxa"/>
            <w:shd w:val="clear" w:color="auto" w:fill="4F81BD" w:themeFill="accent1"/>
            <w:vAlign w:val="center"/>
          </w:tcPr>
          <w:bookmarkEnd w:id="230"/>
          <w:p w14:paraId="23BE473B" w14:textId="77777777" w:rsidR="009C2E60" w:rsidRPr="00947847" w:rsidDel="00B741EF" w:rsidRDefault="009C2E60" w:rsidP="00ED2CD0">
            <w:pPr>
              <w:spacing w:before="60" w:after="60"/>
              <w:rPr>
                <w:color w:val="FFFFFF" w:themeColor="background1"/>
                <w:sz w:val="22"/>
                <w:szCs w:val="22"/>
              </w:rPr>
            </w:pPr>
            <w:r w:rsidRPr="00947847">
              <w:rPr>
                <w:b/>
                <w:color w:val="FFFFFF" w:themeColor="background1"/>
                <w:sz w:val="22"/>
                <w:szCs w:val="22"/>
              </w:rPr>
              <w:t>Description of Risk</w:t>
            </w:r>
          </w:p>
        </w:tc>
        <w:tc>
          <w:tcPr>
            <w:tcW w:w="4860" w:type="dxa"/>
            <w:shd w:val="clear" w:color="auto" w:fill="4F81BD" w:themeFill="accent1"/>
            <w:vAlign w:val="center"/>
          </w:tcPr>
          <w:p w14:paraId="55BF5E9A" w14:textId="77777777" w:rsidR="009C2E60" w:rsidRPr="00947847" w:rsidRDefault="009C2E60" w:rsidP="00ED2CD0">
            <w:pPr>
              <w:spacing w:before="60" w:after="60"/>
              <w:rPr>
                <w:color w:val="FFFFFF" w:themeColor="background1"/>
                <w:sz w:val="22"/>
                <w:szCs w:val="22"/>
              </w:rPr>
            </w:pPr>
            <w:r w:rsidRPr="00947847">
              <w:rPr>
                <w:b/>
                <w:color w:val="FFFFFF" w:themeColor="background1"/>
                <w:sz w:val="22"/>
                <w:szCs w:val="22"/>
              </w:rPr>
              <w:t>Mitigation Strategy</w:t>
            </w:r>
          </w:p>
        </w:tc>
      </w:tr>
      <w:tr w:rsidR="009C2E60" w14:paraId="279BC7BA" w14:textId="77777777" w:rsidTr="00ED2CD0">
        <w:trPr>
          <w:trHeight w:val="593"/>
        </w:trPr>
        <w:tc>
          <w:tcPr>
            <w:tcW w:w="4495" w:type="dxa"/>
          </w:tcPr>
          <w:p w14:paraId="093B0123" w14:textId="5E865409" w:rsidR="009C2E60" w:rsidRDefault="009C2E60" w:rsidP="00ED2CD0">
            <w:pPr>
              <w:rPr>
                <w:sz w:val="22"/>
                <w:szCs w:val="22"/>
              </w:rPr>
            </w:pPr>
            <w:r>
              <w:rPr>
                <w:sz w:val="22"/>
                <w:szCs w:val="22"/>
              </w:rPr>
              <w:t>Loss in service impacts mission critical operations</w:t>
            </w:r>
            <w:r w:rsidR="003B2EF3">
              <w:rPr>
                <w:sz w:val="22"/>
                <w:szCs w:val="22"/>
              </w:rPr>
              <w:t>.</w:t>
            </w:r>
            <w:r>
              <w:rPr>
                <w:sz w:val="22"/>
                <w:szCs w:val="22"/>
              </w:rPr>
              <w:t xml:space="preserve"> </w:t>
            </w:r>
          </w:p>
        </w:tc>
        <w:tc>
          <w:tcPr>
            <w:tcW w:w="4860" w:type="dxa"/>
          </w:tcPr>
          <w:p w14:paraId="37A748AC" w14:textId="6252D41B" w:rsidR="009C2E60" w:rsidDel="00D25CB8" w:rsidRDefault="009C2E60" w:rsidP="00ED2CD0">
            <w:pPr>
              <w:rPr>
                <w:sz w:val="22"/>
                <w:szCs w:val="22"/>
              </w:rPr>
            </w:pPr>
            <w:r>
              <w:rPr>
                <w:sz w:val="22"/>
                <w:szCs w:val="22"/>
              </w:rPr>
              <w:t xml:space="preserve">Transition services using </w:t>
            </w:r>
            <w:r w:rsidR="003B2EF3">
              <w:rPr>
                <w:sz w:val="22"/>
                <w:szCs w:val="22"/>
              </w:rPr>
              <w:t xml:space="preserve">a </w:t>
            </w:r>
            <w:r>
              <w:rPr>
                <w:sz w:val="22"/>
                <w:szCs w:val="22"/>
              </w:rPr>
              <w:t>parallel cut.</w:t>
            </w:r>
          </w:p>
        </w:tc>
      </w:tr>
      <w:tr w:rsidR="003B2EF3" w14:paraId="6ADE8FA5" w14:textId="77777777" w:rsidTr="003B2EF3">
        <w:trPr>
          <w:trHeight w:val="620"/>
        </w:trPr>
        <w:tc>
          <w:tcPr>
            <w:tcW w:w="4495" w:type="dxa"/>
          </w:tcPr>
          <w:p w14:paraId="442DA46F" w14:textId="3E4B28D6" w:rsidR="003B2EF3" w:rsidRDefault="003B2EF3" w:rsidP="00ED2CD0">
            <w:pPr>
              <w:rPr>
                <w:sz w:val="22"/>
                <w:szCs w:val="22"/>
              </w:rPr>
            </w:pPr>
            <w:r>
              <w:rPr>
                <w:sz w:val="22"/>
                <w:szCs w:val="22"/>
              </w:rPr>
              <w:t>Coordination among multiple providers increases transition complexity.</w:t>
            </w:r>
          </w:p>
        </w:tc>
        <w:tc>
          <w:tcPr>
            <w:tcW w:w="4860" w:type="dxa"/>
          </w:tcPr>
          <w:p w14:paraId="260A0E97" w14:textId="1F161031" w:rsidR="003B2EF3" w:rsidRDefault="003B2EF3" w:rsidP="00ED2CD0">
            <w:pPr>
              <w:rPr>
                <w:sz w:val="22"/>
                <w:szCs w:val="22"/>
              </w:rPr>
            </w:pPr>
            <w:r>
              <w:rPr>
                <w:sz w:val="22"/>
                <w:szCs w:val="22"/>
              </w:rPr>
              <w:t>When e</w:t>
            </w:r>
            <w:r w:rsidRPr="00B646CD">
              <w:rPr>
                <w:sz w:val="22"/>
                <w:szCs w:val="22"/>
              </w:rPr>
              <w:t>stablish</w:t>
            </w:r>
            <w:r>
              <w:rPr>
                <w:sz w:val="22"/>
                <w:szCs w:val="22"/>
              </w:rPr>
              <w:t xml:space="preserve">ing the </w:t>
            </w:r>
            <w:r w:rsidRPr="00B646CD">
              <w:rPr>
                <w:sz w:val="22"/>
                <w:szCs w:val="22"/>
              </w:rPr>
              <w:t>cutover team</w:t>
            </w:r>
            <w:r>
              <w:rPr>
                <w:sz w:val="22"/>
                <w:szCs w:val="22"/>
              </w:rPr>
              <w:t>, e</w:t>
            </w:r>
            <w:r w:rsidRPr="00B646CD">
              <w:rPr>
                <w:sz w:val="22"/>
                <w:szCs w:val="22"/>
              </w:rPr>
              <w:t>nsure all providers (existing and new) are represented</w:t>
            </w:r>
            <w:r>
              <w:rPr>
                <w:sz w:val="22"/>
                <w:szCs w:val="22"/>
              </w:rPr>
              <w:t>.</w:t>
            </w:r>
          </w:p>
        </w:tc>
      </w:tr>
      <w:tr w:rsidR="003B2EF3" w14:paraId="138A6E2D" w14:textId="77777777" w:rsidTr="00ED2CD0">
        <w:tc>
          <w:tcPr>
            <w:tcW w:w="4495" w:type="dxa"/>
          </w:tcPr>
          <w:p w14:paraId="6AF58481" w14:textId="77777777" w:rsidR="003B2EF3" w:rsidRDefault="003B2EF3" w:rsidP="00ED2CD0">
            <w:pPr>
              <w:rPr>
                <w:sz w:val="22"/>
                <w:szCs w:val="22"/>
              </w:rPr>
            </w:pPr>
            <w:r>
              <w:rPr>
                <w:sz w:val="22"/>
                <w:szCs w:val="22"/>
              </w:rPr>
              <w:t>Cutover process differs by geographic area, increasing transition complexity.</w:t>
            </w:r>
          </w:p>
          <w:p w14:paraId="67E94697" w14:textId="77777777" w:rsidR="003B2EF3" w:rsidRDefault="003B2EF3" w:rsidP="00ED2CD0">
            <w:pPr>
              <w:rPr>
                <w:sz w:val="22"/>
                <w:szCs w:val="22"/>
              </w:rPr>
            </w:pPr>
          </w:p>
          <w:p w14:paraId="7B460743" w14:textId="5559E6EB" w:rsidR="003B2EF3" w:rsidRDefault="003B2EF3" w:rsidP="003B2EF3">
            <w:pPr>
              <w:rPr>
                <w:sz w:val="22"/>
                <w:szCs w:val="22"/>
              </w:rPr>
            </w:pPr>
            <w:r w:rsidRPr="00C37F9F">
              <w:rPr>
                <w:sz w:val="22"/>
                <w:szCs w:val="22"/>
              </w:rPr>
              <w:t xml:space="preserve">Agencies cannot assume that a process used by a contractor in one geographic area applies to another geographic area for </w:t>
            </w:r>
            <w:r>
              <w:rPr>
                <w:sz w:val="22"/>
                <w:szCs w:val="22"/>
              </w:rPr>
              <w:t>the</w:t>
            </w:r>
            <w:r w:rsidRPr="00C37F9F">
              <w:rPr>
                <w:sz w:val="22"/>
                <w:szCs w:val="22"/>
              </w:rPr>
              <w:t xml:space="preserve"> same contractor</w:t>
            </w:r>
            <w:r>
              <w:rPr>
                <w:sz w:val="22"/>
                <w:szCs w:val="22"/>
              </w:rPr>
              <w:t>.</w:t>
            </w:r>
          </w:p>
        </w:tc>
        <w:tc>
          <w:tcPr>
            <w:tcW w:w="4860" w:type="dxa"/>
          </w:tcPr>
          <w:p w14:paraId="48919192" w14:textId="39B71753" w:rsidR="003B2EF3" w:rsidRDefault="003B2EF3" w:rsidP="00ED2CD0">
            <w:pPr>
              <w:rPr>
                <w:sz w:val="22"/>
                <w:szCs w:val="22"/>
              </w:rPr>
            </w:pPr>
            <w:r>
              <w:rPr>
                <w:sz w:val="22"/>
                <w:szCs w:val="22"/>
              </w:rPr>
              <w:t>Work with the contractor to obtain a complete understanding of cutover practices by geographic area.</w:t>
            </w:r>
          </w:p>
        </w:tc>
      </w:tr>
      <w:tr w:rsidR="003B2EF3" w14:paraId="18865C08" w14:textId="77777777" w:rsidTr="00ED2CD0">
        <w:trPr>
          <w:trHeight w:val="683"/>
        </w:trPr>
        <w:tc>
          <w:tcPr>
            <w:tcW w:w="4495" w:type="dxa"/>
          </w:tcPr>
          <w:p w14:paraId="40B1698C" w14:textId="4F4C2155" w:rsidR="003B2EF3" w:rsidRDefault="003B2EF3" w:rsidP="00ED2CD0">
            <w:pPr>
              <w:rPr>
                <w:sz w:val="22"/>
                <w:szCs w:val="22"/>
              </w:rPr>
            </w:pPr>
            <w:r>
              <w:rPr>
                <w:sz w:val="22"/>
                <w:szCs w:val="22"/>
              </w:rPr>
              <w:t>Batch cutovers delay service transition progress if the defined minimum for batch size is not reached.</w:t>
            </w:r>
          </w:p>
        </w:tc>
        <w:tc>
          <w:tcPr>
            <w:tcW w:w="4860" w:type="dxa"/>
          </w:tcPr>
          <w:p w14:paraId="712AF859" w14:textId="52B897EA" w:rsidR="003B2EF3" w:rsidRDefault="003B2EF3" w:rsidP="00D90A94">
            <w:pPr>
              <w:rPr>
                <w:sz w:val="22"/>
                <w:szCs w:val="22"/>
              </w:rPr>
            </w:pPr>
            <w:r w:rsidRPr="00B741EF">
              <w:rPr>
                <w:sz w:val="22"/>
                <w:szCs w:val="22"/>
              </w:rPr>
              <w:t xml:space="preserve">Agencies </w:t>
            </w:r>
            <w:r>
              <w:rPr>
                <w:sz w:val="22"/>
                <w:szCs w:val="22"/>
              </w:rPr>
              <w:t xml:space="preserve">should </w:t>
            </w:r>
            <w:r w:rsidRPr="00B741EF">
              <w:rPr>
                <w:sz w:val="22"/>
                <w:szCs w:val="22"/>
              </w:rPr>
              <w:t xml:space="preserve">provide the scope of their </w:t>
            </w:r>
            <w:r>
              <w:rPr>
                <w:sz w:val="22"/>
                <w:szCs w:val="22"/>
              </w:rPr>
              <w:t>cutover</w:t>
            </w:r>
            <w:r w:rsidRPr="00B741EF">
              <w:rPr>
                <w:sz w:val="22"/>
                <w:szCs w:val="22"/>
              </w:rPr>
              <w:t xml:space="preserve"> request</w:t>
            </w:r>
            <w:r>
              <w:rPr>
                <w:sz w:val="22"/>
                <w:szCs w:val="22"/>
              </w:rPr>
              <w:t>s</w:t>
            </w:r>
            <w:r w:rsidRPr="00B741EF">
              <w:rPr>
                <w:sz w:val="22"/>
                <w:szCs w:val="22"/>
              </w:rPr>
              <w:t xml:space="preserve"> to all </w:t>
            </w:r>
            <w:r>
              <w:rPr>
                <w:sz w:val="22"/>
                <w:szCs w:val="22"/>
              </w:rPr>
              <w:t>contractors with mandatory flow-down to other providers, such as the LEC.</w:t>
            </w:r>
          </w:p>
        </w:tc>
      </w:tr>
      <w:tr w:rsidR="003B2EF3" w14:paraId="2F720A58" w14:textId="77777777" w:rsidTr="00ED2CD0">
        <w:trPr>
          <w:trHeight w:val="593"/>
        </w:trPr>
        <w:tc>
          <w:tcPr>
            <w:tcW w:w="4495" w:type="dxa"/>
          </w:tcPr>
          <w:p w14:paraId="75854F62" w14:textId="534CD701" w:rsidR="003B2EF3" w:rsidRDefault="003B2EF3" w:rsidP="00ED2CD0">
            <w:pPr>
              <w:rPr>
                <w:sz w:val="22"/>
                <w:szCs w:val="22"/>
              </w:rPr>
            </w:pPr>
            <w:r>
              <w:rPr>
                <w:sz w:val="22"/>
                <w:szCs w:val="22"/>
              </w:rPr>
              <w:t>Access unavailability results in cutover delays, cancellations, or contractor charges.</w:t>
            </w:r>
          </w:p>
        </w:tc>
        <w:tc>
          <w:tcPr>
            <w:tcW w:w="4860" w:type="dxa"/>
          </w:tcPr>
          <w:p w14:paraId="16435073" w14:textId="26C6B8F0" w:rsidR="003B2EF3" w:rsidRDefault="003B2EF3" w:rsidP="00ED2CD0">
            <w:pPr>
              <w:rPr>
                <w:sz w:val="22"/>
                <w:szCs w:val="22"/>
              </w:rPr>
            </w:pPr>
            <w:r>
              <w:rPr>
                <w:sz w:val="22"/>
                <w:szCs w:val="22"/>
              </w:rPr>
              <w:t>Determine and coordinate site access requirements ahead of time.</w:t>
            </w:r>
          </w:p>
        </w:tc>
      </w:tr>
      <w:tr w:rsidR="003B2EF3" w14:paraId="29835DE1" w14:textId="77777777" w:rsidTr="00ED2CD0">
        <w:trPr>
          <w:trHeight w:val="593"/>
        </w:trPr>
        <w:tc>
          <w:tcPr>
            <w:tcW w:w="4495" w:type="dxa"/>
          </w:tcPr>
          <w:p w14:paraId="45039F25" w14:textId="30B1880F" w:rsidR="003B2EF3" w:rsidRDefault="003B2EF3" w:rsidP="00ED2CD0">
            <w:pPr>
              <w:rPr>
                <w:sz w:val="22"/>
                <w:szCs w:val="22"/>
              </w:rPr>
            </w:pPr>
            <w:r>
              <w:rPr>
                <w:sz w:val="22"/>
                <w:szCs w:val="22"/>
              </w:rPr>
              <w:t>Unsuccessful cutover.</w:t>
            </w:r>
          </w:p>
        </w:tc>
        <w:tc>
          <w:tcPr>
            <w:tcW w:w="4860" w:type="dxa"/>
          </w:tcPr>
          <w:p w14:paraId="36FD2BBA" w14:textId="672876B5" w:rsidR="003B2EF3" w:rsidRDefault="003B2EF3" w:rsidP="00D90A94">
            <w:pPr>
              <w:rPr>
                <w:sz w:val="22"/>
                <w:szCs w:val="22"/>
              </w:rPr>
            </w:pPr>
            <w:r>
              <w:rPr>
                <w:sz w:val="22"/>
                <w:szCs w:val="22"/>
              </w:rPr>
              <w:t xml:space="preserve">Ensure a </w:t>
            </w:r>
            <w:r w:rsidR="00D90A94">
              <w:rPr>
                <w:sz w:val="22"/>
                <w:szCs w:val="22"/>
              </w:rPr>
              <w:t>fall</w:t>
            </w:r>
            <w:r>
              <w:rPr>
                <w:sz w:val="22"/>
                <w:szCs w:val="22"/>
              </w:rPr>
              <w:t>back process is planned and available before beginning.</w:t>
            </w:r>
          </w:p>
        </w:tc>
      </w:tr>
      <w:tr w:rsidR="003B2EF3" w14:paraId="7E1DDC73" w14:textId="77777777" w:rsidTr="00ED2CD0">
        <w:trPr>
          <w:trHeight w:val="593"/>
        </w:trPr>
        <w:tc>
          <w:tcPr>
            <w:tcW w:w="4495" w:type="dxa"/>
          </w:tcPr>
          <w:p w14:paraId="2FB55C60" w14:textId="25BD7C1F" w:rsidR="003B2EF3" w:rsidRDefault="003B2EF3" w:rsidP="00ED2CD0">
            <w:pPr>
              <w:rPr>
                <w:sz w:val="22"/>
                <w:szCs w:val="22"/>
              </w:rPr>
            </w:pPr>
            <w:r>
              <w:rPr>
                <w:sz w:val="22"/>
                <w:szCs w:val="22"/>
              </w:rPr>
              <w:t>Replacement service requires new operating procedures within agency.</w:t>
            </w:r>
          </w:p>
        </w:tc>
        <w:tc>
          <w:tcPr>
            <w:tcW w:w="4860" w:type="dxa"/>
          </w:tcPr>
          <w:p w14:paraId="5BA5AE55" w14:textId="77777777" w:rsidR="003B2EF3" w:rsidRDefault="003B2EF3" w:rsidP="008541A9">
            <w:pPr>
              <w:spacing w:after="60"/>
              <w:rPr>
                <w:sz w:val="22"/>
                <w:szCs w:val="22"/>
              </w:rPr>
            </w:pPr>
            <w:r>
              <w:rPr>
                <w:sz w:val="22"/>
                <w:szCs w:val="22"/>
              </w:rPr>
              <w:t>Review service characteristics with contractor and agency personnel and revise operating procedures as needed.</w:t>
            </w:r>
          </w:p>
        </w:tc>
      </w:tr>
    </w:tbl>
    <w:p w14:paraId="5A9F255B" w14:textId="43138181" w:rsidR="009C2E60" w:rsidRPr="009B1485" w:rsidRDefault="009C2E60" w:rsidP="009C2E60">
      <w:pPr>
        <w:rPr>
          <w:sz w:val="22"/>
          <w:szCs w:val="22"/>
        </w:rPr>
      </w:pPr>
    </w:p>
    <w:p w14:paraId="2668FE62" w14:textId="4672362E" w:rsidR="009C2E60" w:rsidRPr="007505FE" w:rsidRDefault="00952DFB" w:rsidP="00774C8C">
      <w:pPr>
        <w:spacing w:before="240" w:after="60"/>
        <w:rPr>
          <w:bCs/>
          <w:szCs w:val="28"/>
        </w:rPr>
      </w:pPr>
      <w:bookmarkStart w:id="231" w:name="_Toc449010872"/>
      <w:bookmarkStart w:id="232" w:name="_Toc449010873"/>
      <w:bookmarkStart w:id="233" w:name="_Toc449010874"/>
      <w:bookmarkStart w:id="234" w:name="_Toc449010875"/>
      <w:bookmarkStart w:id="235" w:name="_Toc531704814"/>
      <w:bookmarkStart w:id="236" w:name="_Toc531704815"/>
      <w:bookmarkStart w:id="237" w:name="_Toc531704816"/>
      <w:bookmarkStart w:id="238" w:name="_Toc531704817"/>
      <w:bookmarkStart w:id="239" w:name="_Toc531704818"/>
      <w:bookmarkStart w:id="240" w:name="_Toc531704819"/>
      <w:bookmarkStart w:id="241" w:name="_Toc531704820"/>
      <w:bookmarkStart w:id="242" w:name="_Toc531704821"/>
      <w:bookmarkStart w:id="243" w:name="_Toc531704822"/>
      <w:bookmarkStart w:id="244" w:name="_Toc531704823"/>
      <w:bookmarkStart w:id="245" w:name="_Toc531704824"/>
      <w:bookmarkStart w:id="246" w:name="_Toc531704825"/>
      <w:bookmarkStart w:id="247" w:name="_Toc531704826"/>
      <w:bookmarkStart w:id="248" w:name="_Toc531704827"/>
      <w:bookmarkStart w:id="249" w:name="_Toc531704828"/>
      <w:bookmarkStart w:id="250" w:name="_Toc531704829"/>
      <w:bookmarkStart w:id="251" w:name="_Toc531704830"/>
      <w:bookmarkStart w:id="252" w:name="_Toc531704831"/>
      <w:bookmarkStart w:id="253" w:name="_Change_Control_Board"/>
      <w:bookmarkStart w:id="254" w:name="_TCC_Change_Control"/>
      <w:bookmarkStart w:id="255" w:name="_Toc341823"/>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Pr>
          <w:b/>
          <w:bCs/>
          <w:sz w:val="28"/>
          <w:szCs w:val="28"/>
        </w:rPr>
        <w:lastRenderedPageBreak/>
        <w:t>G.5</w:t>
      </w:r>
      <w:r>
        <w:rPr>
          <w:b/>
          <w:bCs/>
          <w:sz w:val="28"/>
          <w:szCs w:val="28"/>
        </w:rPr>
        <w:tab/>
      </w:r>
      <w:r w:rsidR="009C2E60" w:rsidRPr="00774C8C">
        <w:rPr>
          <w:b/>
          <w:bCs/>
          <w:sz w:val="28"/>
          <w:szCs w:val="28"/>
        </w:rPr>
        <w:t>Cutover Task Checklist</w:t>
      </w:r>
      <w:bookmarkEnd w:id="255"/>
      <w:r w:rsidR="009C2E60" w:rsidRPr="00774C8C">
        <w:rPr>
          <w:b/>
          <w:bCs/>
          <w:sz w:val="28"/>
          <w:szCs w:val="28"/>
        </w:rPr>
        <w:t xml:space="preserve"> </w:t>
      </w:r>
    </w:p>
    <w:p w14:paraId="24F3C5C7" w14:textId="733ED92F" w:rsidR="009C2E60" w:rsidRDefault="004912AA" w:rsidP="009C2E60">
      <w:r>
        <w:t>Items listed</w:t>
      </w:r>
      <w:r w:rsidR="00E06E16">
        <w:t xml:space="preserve"> in Table 2</w:t>
      </w:r>
      <w:r>
        <w:t xml:space="preserve"> cover</w:t>
      </w:r>
      <w:r w:rsidR="009C2E60" w:rsidRPr="008B58E1">
        <w:t xml:space="preserve"> elements pertaining to all types of telecommunications cutovers.  Agencies should adapt the list to their </w:t>
      </w:r>
      <w:r w:rsidR="009C2E60">
        <w:t xml:space="preserve">unique </w:t>
      </w:r>
      <w:r w:rsidR="009C2E60" w:rsidRPr="008B58E1">
        <w:t>situation.</w:t>
      </w:r>
    </w:p>
    <w:p w14:paraId="36F72468" w14:textId="77777777" w:rsidR="009C2E60" w:rsidRDefault="009C2E60" w:rsidP="009C2E60"/>
    <w:p w14:paraId="53B023E7" w14:textId="6B1AA5B6" w:rsidR="000729AB" w:rsidRPr="00774C8C" w:rsidRDefault="000729AB" w:rsidP="000729AB">
      <w:pPr>
        <w:pStyle w:val="Caption"/>
        <w:keepNext/>
        <w:jc w:val="center"/>
        <w:rPr>
          <w:b w:val="0"/>
          <w:sz w:val="22"/>
          <w:szCs w:val="18"/>
        </w:rPr>
      </w:pPr>
      <w:r w:rsidRPr="00774C8C">
        <w:rPr>
          <w:b w:val="0"/>
          <w:sz w:val="22"/>
          <w:szCs w:val="18"/>
        </w:rPr>
        <w:t>Table</w:t>
      </w:r>
      <w:r w:rsidR="00DB1104" w:rsidRPr="00774C8C">
        <w:rPr>
          <w:b w:val="0"/>
          <w:sz w:val="22"/>
          <w:szCs w:val="18"/>
        </w:rPr>
        <w:t xml:space="preserve"> G</w:t>
      </w:r>
      <w:r w:rsidR="00DB1104">
        <w:rPr>
          <w:b w:val="0"/>
          <w:sz w:val="22"/>
          <w:szCs w:val="18"/>
        </w:rPr>
        <w:t>-</w:t>
      </w:r>
      <w:r w:rsidR="00DB1104" w:rsidRPr="00774C8C">
        <w:rPr>
          <w:b w:val="0"/>
          <w:sz w:val="22"/>
          <w:szCs w:val="18"/>
        </w:rPr>
        <w:t>2</w:t>
      </w:r>
      <w:r w:rsidRPr="00774C8C">
        <w:rPr>
          <w:b w:val="0"/>
          <w:sz w:val="22"/>
          <w:szCs w:val="18"/>
        </w:rPr>
        <w:t xml:space="preserve">. </w:t>
      </w:r>
      <w:r w:rsidRPr="00774C8C">
        <w:rPr>
          <w:b w:val="0"/>
          <w:i/>
          <w:sz w:val="22"/>
          <w:szCs w:val="18"/>
        </w:rPr>
        <w:t>Cutover Task Checklist</w:t>
      </w:r>
    </w:p>
    <w:tbl>
      <w:tblPr>
        <w:tblStyle w:val="MediumShading1-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5888"/>
      </w:tblGrid>
      <w:tr w:rsidR="006427BA" w:rsidRPr="0023460F" w14:paraId="4EC8D379" w14:textId="77777777" w:rsidTr="00F162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28" w:type="dxa"/>
          </w:tcPr>
          <w:p w14:paraId="025BDE35" w14:textId="77777777" w:rsidR="006427BA" w:rsidRPr="0023460F" w:rsidRDefault="006427BA" w:rsidP="00A35602">
            <w:pPr>
              <w:rPr>
                <w:sz w:val="22"/>
                <w:szCs w:val="22"/>
              </w:rPr>
            </w:pPr>
            <w:r w:rsidRPr="0023460F">
              <w:rPr>
                <w:sz w:val="22"/>
                <w:szCs w:val="22"/>
              </w:rPr>
              <w:t>Cutover Phase</w:t>
            </w:r>
          </w:p>
        </w:tc>
        <w:tc>
          <w:tcPr>
            <w:tcW w:w="6030" w:type="dxa"/>
          </w:tcPr>
          <w:p w14:paraId="19683BBF" w14:textId="4ADE231E" w:rsidR="006427BA" w:rsidRPr="0023460F" w:rsidRDefault="006427BA" w:rsidP="00A35602">
            <w:pPr>
              <w:cnfStyle w:val="100000000000" w:firstRow="1" w:lastRow="0" w:firstColumn="0" w:lastColumn="0" w:oddVBand="0" w:evenVBand="0" w:oddHBand="0" w:evenHBand="0" w:firstRowFirstColumn="0" w:firstRowLastColumn="0" w:lastRowFirstColumn="0" w:lastRowLastColumn="0"/>
              <w:rPr>
                <w:sz w:val="22"/>
                <w:szCs w:val="22"/>
              </w:rPr>
            </w:pPr>
            <w:r w:rsidRPr="0023460F">
              <w:rPr>
                <w:sz w:val="22"/>
                <w:szCs w:val="22"/>
              </w:rPr>
              <w:t xml:space="preserve"> Tasks</w:t>
            </w:r>
          </w:p>
        </w:tc>
      </w:tr>
      <w:tr w:rsidR="006427BA" w:rsidRPr="0023460F" w14:paraId="71F1BF92" w14:textId="77777777" w:rsidTr="00F16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Pr>
          <w:p w14:paraId="0965A592" w14:textId="77777777" w:rsidR="006427BA" w:rsidRPr="0023460F" w:rsidRDefault="006427BA" w:rsidP="00A35602">
            <w:pPr>
              <w:rPr>
                <w:sz w:val="22"/>
                <w:szCs w:val="22"/>
              </w:rPr>
            </w:pPr>
            <w:r w:rsidRPr="0023460F">
              <w:rPr>
                <w:sz w:val="22"/>
                <w:szCs w:val="22"/>
              </w:rPr>
              <w:t>Organize the Project</w:t>
            </w:r>
          </w:p>
        </w:tc>
        <w:tc>
          <w:tcPr>
            <w:tcW w:w="6030" w:type="dxa"/>
          </w:tcPr>
          <w:p w14:paraId="1B8D9900" w14:textId="77777777" w:rsidR="006427BA" w:rsidRPr="00FC6098" w:rsidRDefault="006427BA" w:rsidP="000567A5">
            <w:pPr>
              <w:pStyle w:val="ListParagraph"/>
              <w:widowControl/>
              <w:numPr>
                <w:ilvl w:val="0"/>
                <w:numId w:val="60"/>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Set project objectives</w:t>
            </w:r>
          </w:p>
          <w:p w14:paraId="22334901" w14:textId="77777777" w:rsidR="006427BA" w:rsidRPr="00FC6098" w:rsidRDefault="006427BA" w:rsidP="000567A5">
            <w:pPr>
              <w:pStyle w:val="ListParagraph"/>
              <w:widowControl/>
              <w:numPr>
                <w:ilvl w:val="0"/>
                <w:numId w:val="60"/>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Establish cutover team</w:t>
            </w:r>
          </w:p>
          <w:p w14:paraId="24846117" w14:textId="77777777" w:rsidR="006427BA" w:rsidRPr="00FC6098" w:rsidRDefault="006427BA" w:rsidP="000567A5">
            <w:pPr>
              <w:pStyle w:val="ListParagraph"/>
              <w:widowControl/>
              <w:numPr>
                <w:ilvl w:val="1"/>
                <w:numId w:val="69"/>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Consider if GSA is a stakeholder</w:t>
            </w:r>
          </w:p>
          <w:p w14:paraId="058D6BE7" w14:textId="77777777" w:rsidR="006427BA" w:rsidRPr="00FC6098" w:rsidRDefault="006427BA" w:rsidP="000567A5">
            <w:pPr>
              <w:pStyle w:val="ListParagraph"/>
              <w:widowControl/>
              <w:numPr>
                <w:ilvl w:val="1"/>
                <w:numId w:val="69"/>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Ensure all providers (both existing and new) are represented</w:t>
            </w:r>
          </w:p>
          <w:p w14:paraId="1D712768" w14:textId="77777777" w:rsidR="006427BA" w:rsidRPr="00FC6098" w:rsidRDefault="006427BA" w:rsidP="000567A5">
            <w:pPr>
              <w:pStyle w:val="ListParagraph"/>
              <w:widowControl/>
              <w:numPr>
                <w:ilvl w:val="0"/>
                <w:numId w:val="60"/>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Establish key cutover dates and milestones</w:t>
            </w:r>
          </w:p>
          <w:p w14:paraId="190173E3" w14:textId="77777777" w:rsidR="006427BA" w:rsidRPr="00FC6098" w:rsidRDefault="006427BA" w:rsidP="000567A5">
            <w:pPr>
              <w:pStyle w:val="ListParagraph"/>
              <w:widowControl/>
              <w:numPr>
                <w:ilvl w:val="0"/>
                <w:numId w:val="60"/>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Hold a kick-off meeting</w:t>
            </w:r>
          </w:p>
          <w:p w14:paraId="67C77A4B" w14:textId="77777777" w:rsidR="006427BA" w:rsidRPr="00FC6098" w:rsidRDefault="006427BA" w:rsidP="000567A5">
            <w:pPr>
              <w:pStyle w:val="ListParagraph"/>
              <w:widowControl/>
              <w:numPr>
                <w:ilvl w:val="0"/>
                <w:numId w:val="60"/>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Develop task lists</w:t>
            </w:r>
          </w:p>
          <w:p w14:paraId="6AAB7D3D" w14:textId="77777777" w:rsidR="006427BA" w:rsidRPr="00FC6098" w:rsidRDefault="006427BA" w:rsidP="000567A5">
            <w:pPr>
              <w:pStyle w:val="ListParagraph"/>
              <w:widowControl/>
              <w:numPr>
                <w:ilvl w:val="0"/>
                <w:numId w:val="60"/>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Determine constraints (military bases, airports, campus environments, new construction, standard maintenance windows, critical operating timeframes)</w:t>
            </w:r>
          </w:p>
          <w:p w14:paraId="4FF07FE0" w14:textId="77777777" w:rsidR="006427BA" w:rsidRPr="00FC6098" w:rsidRDefault="006427BA" w:rsidP="000567A5">
            <w:pPr>
              <w:pStyle w:val="ListParagraph"/>
              <w:widowControl/>
              <w:numPr>
                <w:ilvl w:val="0"/>
                <w:numId w:val="60"/>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Perform a cost/benefit analysis supporting the cutover</w:t>
            </w:r>
          </w:p>
          <w:p w14:paraId="586691BC" w14:textId="77777777" w:rsidR="006427BA" w:rsidRPr="00FC6098" w:rsidRDefault="006427BA" w:rsidP="000567A5">
            <w:pPr>
              <w:pStyle w:val="ListParagraph"/>
              <w:widowControl/>
              <w:numPr>
                <w:ilvl w:val="0"/>
                <w:numId w:val="60"/>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Determine measures of success</w:t>
            </w:r>
          </w:p>
        </w:tc>
      </w:tr>
      <w:tr w:rsidR="006427BA" w:rsidRPr="0023460F" w14:paraId="4D72CF6C" w14:textId="77777777" w:rsidTr="00F162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Pr>
          <w:p w14:paraId="624F41EB" w14:textId="77777777" w:rsidR="006427BA" w:rsidRPr="0023460F" w:rsidRDefault="006427BA" w:rsidP="00A35602">
            <w:pPr>
              <w:rPr>
                <w:sz w:val="22"/>
                <w:szCs w:val="22"/>
              </w:rPr>
            </w:pPr>
            <w:r w:rsidRPr="0023460F">
              <w:rPr>
                <w:sz w:val="22"/>
                <w:szCs w:val="22"/>
              </w:rPr>
              <w:t>Develop Requirements</w:t>
            </w:r>
          </w:p>
        </w:tc>
        <w:tc>
          <w:tcPr>
            <w:tcW w:w="6030" w:type="dxa"/>
          </w:tcPr>
          <w:p w14:paraId="15A0B435" w14:textId="77777777" w:rsidR="006427BA" w:rsidRPr="00FC6098" w:rsidRDefault="006427BA" w:rsidP="000567A5">
            <w:pPr>
              <w:pStyle w:val="ListParagraph"/>
              <w:widowControl/>
              <w:numPr>
                <w:ilvl w:val="0"/>
                <w:numId w:val="61"/>
              </w:numPr>
              <w:autoSpaceDE/>
              <w:autoSpaceDN/>
              <w:adjustRightInd/>
              <w:jc w:val="left"/>
              <w:cnfStyle w:val="000000010000" w:firstRow="0" w:lastRow="0" w:firstColumn="0" w:lastColumn="0" w:oddVBand="0" w:evenVBand="0" w:oddHBand="0" w:evenHBand="1" w:firstRowFirstColumn="0" w:firstRowLastColumn="0" w:lastRowFirstColumn="0" w:lastRowLastColumn="0"/>
              <w:rPr>
                <w:sz w:val="22"/>
                <w:szCs w:val="22"/>
              </w:rPr>
            </w:pPr>
            <w:r w:rsidRPr="00FC6098">
              <w:rPr>
                <w:sz w:val="22"/>
                <w:szCs w:val="22"/>
              </w:rPr>
              <w:t>Determine system requirements</w:t>
            </w:r>
          </w:p>
          <w:p w14:paraId="512E14F1" w14:textId="77777777" w:rsidR="006427BA" w:rsidRPr="00FC6098" w:rsidRDefault="006427BA" w:rsidP="000567A5">
            <w:pPr>
              <w:pStyle w:val="ListParagraph"/>
              <w:widowControl/>
              <w:numPr>
                <w:ilvl w:val="0"/>
                <w:numId w:val="61"/>
              </w:numPr>
              <w:autoSpaceDE/>
              <w:autoSpaceDN/>
              <w:adjustRightInd/>
              <w:jc w:val="left"/>
              <w:cnfStyle w:val="000000010000" w:firstRow="0" w:lastRow="0" w:firstColumn="0" w:lastColumn="0" w:oddVBand="0" w:evenVBand="0" w:oddHBand="0" w:evenHBand="1" w:firstRowFirstColumn="0" w:firstRowLastColumn="0" w:lastRowFirstColumn="0" w:lastRowLastColumn="0"/>
              <w:rPr>
                <w:sz w:val="22"/>
                <w:szCs w:val="22"/>
              </w:rPr>
            </w:pPr>
            <w:r w:rsidRPr="00FC6098">
              <w:rPr>
                <w:sz w:val="22"/>
                <w:szCs w:val="22"/>
              </w:rPr>
              <w:t>Determine feature requirements</w:t>
            </w:r>
          </w:p>
          <w:p w14:paraId="6FE64A86" w14:textId="77777777" w:rsidR="006427BA" w:rsidRPr="00FC6098" w:rsidRDefault="006427BA" w:rsidP="000567A5">
            <w:pPr>
              <w:pStyle w:val="ListParagraph"/>
              <w:widowControl/>
              <w:numPr>
                <w:ilvl w:val="0"/>
                <w:numId w:val="61"/>
              </w:numPr>
              <w:autoSpaceDE/>
              <w:autoSpaceDN/>
              <w:adjustRightInd/>
              <w:jc w:val="left"/>
              <w:cnfStyle w:val="000000010000" w:firstRow="0" w:lastRow="0" w:firstColumn="0" w:lastColumn="0" w:oddVBand="0" w:evenVBand="0" w:oddHBand="0" w:evenHBand="1" w:firstRowFirstColumn="0" w:firstRowLastColumn="0" w:lastRowFirstColumn="0" w:lastRowLastColumn="0"/>
              <w:rPr>
                <w:sz w:val="22"/>
                <w:szCs w:val="22"/>
              </w:rPr>
            </w:pPr>
            <w:r w:rsidRPr="00FC6098">
              <w:rPr>
                <w:sz w:val="22"/>
                <w:szCs w:val="22"/>
              </w:rPr>
              <w:t>Conduct analysis of new services vs. a hybrid system that reuses part of the legacy network</w:t>
            </w:r>
          </w:p>
          <w:p w14:paraId="70C5E2E0" w14:textId="4024984B" w:rsidR="006427BA" w:rsidRPr="00FC6098" w:rsidRDefault="006427BA" w:rsidP="000567A5">
            <w:pPr>
              <w:pStyle w:val="ListParagraph"/>
              <w:widowControl/>
              <w:numPr>
                <w:ilvl w:val="0"/>
                <w:numId w:val="61"/>
              </w:numPr>
              <w:autoSpaceDE/>
              <w:autoSpaceDN/>
              <w:adjustRightInd/>
              <w:jc w:val="left"/>
              <w:cnfStyle w:val="000000010000" w:firstRow="0" w:lastRow="0" w:firstColumn="0" w:lastColumn="0" w:oddVBand="0" w:evenVBand="0" w:oddHBand="0" w:evenHBand="1" w:firstRowFirstColumn="0" w:firstRowLastColumn="0" w:lastRowFirstColumn="0" w:lastRowLastColumn="0"/>
              <w:rPr>
                <w:sz w:val="22"/>
                <w:szCs w:val="22"/>
              </w:rPr>
            </w:pPr>
            <w:r w:rsidRPr="00FC6098">
              <w:rPr>
                <w:sz w:val="22"/>
                <w:szCs w:val="22"/>
              </w:rPr>
              <w:t>If a parallel cutover: determine the length of time parallel service is needed</w:t>
            </w:r>
            <w:r w:rsidR="001F04E5">
              <w:rPr>
                <w:sz w:val="22"/>
                <w:szCs w:val="22"/>
              </w:rPr>
              <w:t>;</w:t>
            </w:r>
            <w:r w:rsidRPr="00FC6098">
              <w:rPr>
                <w:sz w:val="22"/>
                <w:szCs w:val="22"/>
              </w:rPr>
              <w:t xml:space="preserve"> Factor in pre-cutover testing (24-96 hours) and post-cutover coverage for continued testing and user support (24-96 hours)</w:t>
            </w:r>
          </w:p>
          <w:p w14:paraId="729D904D" w14:textId="4D1EE06D" w:rsidR="006427BA" w:rsidRPr="00FC6098" w:rsidRDefault="006427BA" w:rsidP="000567A5">
            <w:pPr>
              <w:pStyle w:val="ListParagraph"/>
              <w:widowControl/>
              <w:numPr>
                <w:ilvl w:val="0"/>
                <w:numId w:val="61"/>
              </w:numPr>
              <w:autoSpaceDE/>
              <w:autoSpaceDN/>
              <w:adjustRightInd/>
              <w:jc w:val="left"/>
              <w:cnfStyle w:val="000000010000" w:firstRow="0" w:lastRow="0" w:firstColumn="0" w:lastColumn="0" w:oddVBand="0" w:evenVBand="0" w:oddHBand="0" w:evenHBand="1" w:firstRowFirstColumn="0" w:firstRowLastColumn="0" w:lastRowFirstColumn="0" w:lastRowLastColumn="0"/>
              <w:rPr>
                <w:sz w:val="22"/>
                <w:szCs w:val="22"/>
              </w:rPr>
            </w:pPr>
            <w:r w:rsidRPr="00FC6098">
              <w:rPr>
                <w:sz w:val="22"/>
                <w:szCs w:val="22"/>
              </w:rPr>
              <w:t>Determine if diversity/redundancy is required</w:t>
            </w:r>
          </w:p>
          <w:p w14:paraId="21B5CD97" w14:textId="77777777" w:rsidR="006427BA" w:rsidRPr="00FC6098" w:rsidRDefault="006427BA" w:rsidP="000567A5">
            <w:pPr>
              <w:pStyle w:val="ListParagraph"/>
              <w:widowControl/>
              <w:numPr>
                <w:ilvl w:val="0"/>
                <w:numId w:val="61"/>
              </w:numPr>
              <w:autoSpaceDE/>
              <w:autoSpaceDN/>
              <w:adjustRightInd/>
              <w:jc w:val="left"/>
              <w:cnfStyle w:val="000000010000" w:firstRow="0" w:lastRow="0" w:firstColumn="0" w:lastColumn="0" w:oddVBand="0" w:evenVBand="0" w:oddHBand="0" w:evenHBand="1" w:firstRowFirstColumn="0" w:firstRowLastColumn="0" w:lastRowFirstColumn="0" w:lastRowLastColumn="0"/>
              <w:rPr>
                <w:sz w:val="22"/>
                <w:szCs w:val="22"/>
              </w:rPr>
            </w:pPr>
            <w:r w:rsidRPr="00FC6098">
              <w:rPr>
                <w:sz w:val="22"/>
                <w:szCs w:val="22"/>
              </w:rPr>
              <w:t xml:space="preserve">Determine the adequacy of inside wiring </w:t>
            </w:r>
          </w:p>
          <w:p w14:paraId="569CD7D2" w14:textId="77777777" w:rsidR="006427BA" w:rsidRPr="00FC6098" w:rsidRDefault="006427BA" w:rsidP="000567A5">
            <w:pPr>
              <w:pStyle w:val="ListParagraph"/>
              <w:widowControl/>
              <w:numPr>
                <w:ilvl w:val="0"/>
                <w:numId w:val="61"/>
              </w:numPr>
              <w:autoSpaceDE/>
              <w:autoSpaceDN/>
              <w:adjustRightInd/>
              <w:jc w:val="left"/>
              <w:cnfStyle w:val="000000010000" w:firstRow="0" w:lastRow="0" w:firstColumn="0" w:lastColumn="0" w:oddVBand="0" w:evenVBand="0" w:oddHBand="0" w:evenHBand="1" w:firstRowFirstColumn="0" w:firstRowLastColumn="0" w:lastRowFirstColumn="0" w:lastRowLastColumn="0"/>
              <w:rPr>
                <w:sz w:val="22"/>
                <w:szCs w:val="22"/>
              </w:rPr>
            </w:pPr>
            <w:r w:rsidRPr="00FC6098">
              <w:rPr>
                <w:sz w:val="22"/>
                <w:szCs w:val="22"/>
              </w:rPr>
              <w:t>Determine landlord and building management’s approval requirements</w:t>
            </w:r>
          </w:p>
          <w:p w14:paraId="5A107572" w14:textId="2A79F4A8" w:rsidR="006427BA" w:rsidRPr="00FC6098" w:rsidRDefault="006427BA" w:rsidP="000567A5">
            <w:pPr>
              <w:pStyle w:val="ListParagraph"/>
              <w:widowControl/>
              <w:numPr>
                <w:ilvl w:val="0"/>
                <w:numId w:val="61"/>
              </w:numPr>
              <w:autoSpaceDE/>
              <w:autoSpaceDN/>
              <w:adjustRightInd/>
              <w:jc w:val="left"/>
              <w:cnfStyle w:val="000000010000" w:firstRow="0" w:lastRow="0" w:firstColumn="0" w:lastColumn="0" w:oddVBand="0" w:evenVBand="0" w:oddHBand="0" w:evenHBand="1" w:firstRowFirstColumn="0" w:firstRowLastColumn="0" w:lastRowFirstColumn="0" w:lastRowLastColumn="0"/>
              <w:rPr>
                <w:sz w:val="22"/>
                <w:szCs w:val="22"/>
              </w:rPr>
            </w:pPr>
            <w:r w:rsidRPr="00FC6098">
              <w:rPr>
                <w:sz w:val="22"/>
                <w:szCs w:val="22"/>
              </w:rPr>
              <w:t>Determine access type and entrance facilities</w:t>
            </w:r>
            <w:r w:rsidR="00D90A94">
              <w:rPr>
                <w:sz w:val="22"/>
                <w:szCs w:val="22"/>
              </w:rPr>
              <w:t>, especially when converting to Ethernet, specify whether electrical or optical</w:t>
            </w:r>
          </w:p>
          <w:p w14:paraId="44766E4E" w14:textId="2D7BAC68" w:rsidR="006427BA" w:rsidRPr="00FC6098" w:rsidRDefault="006427BA" w:rsidP="000567A5">
            <w:pPr>
              <w:pStyle w:val="ListParagraph"/>
              <w:widowControl/>
              <w:numPr>
                <w:ilvl w:val="0"/>
                <w:numId w:val="61"/>
              </w:numPr>
              <w:autoSpaceDE/>
              <w:autoSpaceDN/>
              <w:adjustRightInd/>
              <w:jc w:val="left"/>
              <w:cnfStyle w:val="000000010000" w:firstRow="0" w:lastRow="0" w:firstColumn="0" w:lastColumn="0" w:oddVBand="0" w:evenVBand="0" w:oddHBand="0" w:evenHBand="1" w:firstRowFirstColumn="0" w:firstRowLastColumn="0" w:lastRowFirstColumn="0" w:lastRowLastColumn="0"/>
              <w:rPr>
                <w:sz w:val="22"/>
                <w:szCs w:val="22"/>
              </w:rPr>
            </w:pPr>
            <w:r w:rsidRPr="00FC6098">
              <w:rPr>
                <w:sz w:val="22"/>
                <w:szCs w:val="22"/>
              </w:rPr>
              <w:t xml:space="preserve">Determine site requirement – space, rack, power, </w:t>
            </w:r>
            <w:r w:rsidR="00D90A94">
              <w:rPr>
                <w:sz w:val="22"/>
                <w:szCs w:val="22"/>
              </w:rPr>
              <w:t>Heating, Ventilating, and Air-Conditioning (</w:t>
            </w:r>
            <w:r w:rsidRPr="00FC6098">
              <w:rPr>
                <w:sz w:val="22"/>
                <w:szCs w:val="22"/>
              </w:rPr>
              <w:t>HVAC</w:t>
            </w:r>
            <w:r w:rsidR="00D90A94">
              <w:rPr>
                <w:sz w:val="22"/>
                <w:szCs w:val="22"/>
              </w:rPr>
              <w:t>)</w:t>
            </w:r>
          </w:p>
          <w:p w14:paraId="0E7282A7" w14:textId="77777777" w:rsidR="006427BA" w:rsidRPr="00FC6098" w:rsidRDefault="006427BA" w:rsidP="000567A5">
            <w:pPr>
              <w:pStyle w:val="ListParagraph"/>
              <w:widowControl/>
              <w:numPr>
                <w:ilvl w:val="0"/>
                <w:numId w:val="61"/>
              </w:numPr>
              <w:autoSpaceDE/>
              <w:autoSpaceDN/>
              <w:adjustRightInd/>
              <w:jc w:val="left"/>
              <w:cnfStyle w:val="000000010000" w:firstRow="0" w:lastRow="0" w:firstColumn="0" w:lastColumn="0" w:oddVBand="0" w:evenVBand="0" w:oddHBand="0" w:evenHBand="1" w:firstRowFirstColumn="0" w:firstRowLastColumn="0" w:lastRowFirstColumn="0" w:lastRowLastColumn="0"/>
              <w:rPr>
                <w:sz w:val="22"/>
                <w:szCs w:val="22"/>
              </w:rPr>
            </w:pPr>
            <w:r w:rsidRPr="00FC6098">
              <w:rPr>
                <w:sz w:val="22"/>
                <w:szCs w:val="22"/>
              </w:rPr>
              <w:t>Determine equipment requirements</w:t>
            </w:r>
          </w:p>
          <w:p w14:paraId="5A0AEBC0" w14:textId="77777777" w:rsidR="006427BA" w:rsidRPr="00FC6098" w:rsidRDefault="006427BA" w:rsidP="000567A5">
            <w:pPr>
              <w:pStyle w:val="ListParagraph"/>
              <w:widowControl/>
              <w:numPr>
                <w:ilvl w:val="1"/>
                <w:numId w:val="69"/>
              </w:numPr>
              <w:autoSpaceDE/>
              <w:autoSpaceDN/>
              <w:adjustRightInd/>
              <w:jc w:val="left"/>
              <w:cnfStyle w:val="000000010000" w:firstRow="0" w:lastRow="0" w:firstColumn="0" w:lastColumn="0" w:oddVBand="0" w:evenVBand="0" w:oddHBand="0" w:evenHBand="1" w:firstRowFirstColumn="0" w:firstRowLastColumn="0" w:lastRowFirstColumn="0" w:lastRowLastColumn="0"/>
              <w:rPr>
                <w:sz w:val="22"/>
                <w:szCs w:val="22"/>
              </w:rPr>
            </w:pPr>
            <w:r w:rsidRPr="00FC6098">
              <w:rPr>
                <w:sz w:val="22"/>
                <w:szCs w:val="22"/>
              </w:rPr>
              <w:t>If parallel cutover, determine if existing equipment will support parallel operations</w:t>
            </w:r>
          </w:p>
          <w:p w14:paraId="70030F98" w14:textId="1A631F49" w:rsidR="006427BA" w:rsidRPr="00FC6098" w:rsidRDefault="006427BA" w:rsidP="000567A5">
            <w:pPr>
              <w:pStyle w:val="ListParagraph"/>
              <w:widowControl/>
              <w:numPr>
                <w:ilvl w:val="0"/>
                <w:numId w:val="61"/>
              </w:numPr>
              <w:autoSpaceDE/>
              <w:autoSpaceDN/>
              <w:adjustRightInd/>
              <w:jc w:val="left"/>
              <w:cnfStyle w:val="000000010000" w:firstRow="0" w:lastRow="0" w:firstColumn="0" w:lastColumn="0" w:oddVBand="0" w:evenVBand="0" w:oddHBand="0" w:evenHBand="1" w:firstRowFirstColumn="0" w:firstRowLastColumn="0" w:lastRowFirstColumn="0" w:lastRowLastColumn="0"/>
              <w:rPr>
                <w:sz w:val="22"/>
                <w:szCs w:val="22"/>
              </w:rPr>
            </w:pPr>
            <w:r w:rsidRPr="00FC6098">
              <w:rPr>
                <w:sz w:val="22"/>
                <w:szCs w:val="22"/>
              </w:rPr>
              <w:t>Identify equipment locations</w:t>
            </w:r>
          </w:p>
          <w:p w14:paraId="407A3B2C" w14:textId="77777777" w:rsidR="006427BA" w:rsidRPr="00FC6098" w:rsidRDefault="006427BA" w:rsidP="000567A5">
            <w:pPr>
              <w:pStyle w:val="ListParagraph"/>
              <w:widowControl/>
              <w:numPr>
                <w:ilvl w:val="1"/>
                <w:numId w:val="69"/>
              </w:numPr>
              <w:autoSpaceDE/>
              <w:autoSpaceDN/>
              <w:adjustRightInd/>
              <w:jc w:val="left"/>
              <w:cnfStyle w:val="000000010000" w:firstRow="0" w:lastRow="0" w:firstColumn="0" w:lastColumn="0" w:oddVBand="0" w:evenVBand="0" w:oddHBand="0" w:evenHBand="1" w:firstRowFirstColumn="0" w:firstRowLastColumn="0" w:lastRowFirstColumn="0" w:lastRowLastColumn="0"/>
              <w:rPr>
                <w:sz w:val="22"/>
                <w:szCs w:val="22"/>
              </w:rPr>
            </w:pPr>
            <w:r w:rsidRPr="00FC6098">
              <w:rPr>
                <w:sz w:val="22"/>
                <w:szCs w:val="22"/>
              </w:rPr>
              <w:t>Floor Plans: Identify equipment and cubicle numbers, outlets and room locations</w:t>
            </w:r>
          </w:p>
          <w:p w14:paraId="2C3CD1B0" w14:textId="67B3F89A" w:rsidR="006427BA" w:rsidRPr="00FC6098" w:rsidRDefault="006427BA" w:rsidP="000567A5">
            <w:pPr>
              <w:pStyle w:val="ListParagraph"/>
              <w:widowControl/>
              <w:numPr>
                <w:ilvl w:val="0"/>
                <w:numId w:val="61"/>
              </w:numPr>
              <w:autoSpaceDE/>
              <w:autoSpaceDN/>
              <w:adjustRightInd/>
              <w:jc w:val="left"/>
              <w:cnfStyle w:val="000000010000" w:firstRow="0" w:lastRow="0" w:firstColumn="0" w:lastColumn="0" w:oddVBand="0" w:evenVBand="0" w:oddHBand="0" w:evenHBand="1" w:firstRowFirstColumn="0" w:firstRowLastColumn="0" w:lastRowFirstColumn="0" w:lastRowLastColumn="0"/>
              <w:rPr>
                <w:sz w:val="22"/>
                <w:szCs w:val="22"/>
              </w:rPr>
            </w:pPr>
            <w:r w:rsidRPr="00FC6098">
              <w:rPr>
                <w:sz w:val="22"/>
                <w:szCs w:val="22"/>
              </w:rPr>
              <w:t>Determine station requirements</w:t>
            </w:r>
          </w:p>
          <w:p w14:paraId="34452A73" w14:textId="7E5517EA" w:rsidR="006427BA" w:rsidRPr="00FC6098" w:rsidRDefault="006427BA" w:rsidP="000567A5">
            <w:pPr>
              <w:pStyle w:val="ListParagraph"/>
              <w:widowControl/>
              <w:numPr>
                <w:ilvl w:val="0"/>
                <w:numId w:val="61"/>
              </w:numPr>
              <w:autoSpaceDE/>
              <w:autoSpaceDN/>
              <w:adjustRightInd/>
              <w:jc w:val="left"/>
              <w:cnfStyle w:val="000000010000" w:firstRow="0" w:lastRow="0" w:firstColumn="0" w:lastColumn="0" w:oddVBand="0" w:evenVBand="0" w:oddHBand="0" w:evenHBand="1" w:firstRowFirstColumn="0" w:firstRowLastColumn="0" w:lastRowFirstColumn="0" w:lastRowLastColumn="0"/>
              <w:rPr>
                <w:sz w:val="22"/>
                <w:szCs w:val="22"/>
              </w:rPr>
            </w:pPr>
            <w:r w:rsidRPr="00FC6098">
              <w:rPr>
                <w:sz w:val="22"/>
                <w:szCs w:val="22"/>
              </w:rPr>
              <w:t>Determine trunk and bandwidth requirements</w:t>
            </w:r>
          </w:p>
          <w:p w14:paraId="5C7A4BA0" w14:textId="21836266" w:rsidR="006427BA" w:rsidRPr="00FC6098" w:rsidRDefault="006427BA" w:rsidP="000567A5">
            <w:pPr>
              <w:pStyle w:val="ListParagraph"/>
              <w:widowControl/>
              <w:numPr>
                <w:ilvl w:val="0"/>
                <w:numId w:val="61"/>
              </w:numPr>
              <w:autoSpaceDE/>
              <w:autoSpaceDN/>
              <w:adjustRightInd/>
              <w:jc w:val="left"/>
              <w:cnfStyle w:val="000000010000" w:firstRow="0" w:lastRow="0" w:firstColumn="0" w:lastColumn="0" w:oddVBand="0" w:evenVBand="0" w:oddHBand="0" w:evenHBand="1" w:firstRowFirstColumn="0" w:firstRowLastColumn="0" w:lastRowFirstColumn="0" w:lastRowLastColumn="0"/>
              <w:rPr>
                <w:sz w:val="22"/>
                <w:szCs w:val="22"/>
              </w:rPr>
            </w:pPr>
            <w:r w:rsidRPr="00FC6098">
              <w:rPr>
                <w:sz w:val="22"/>
                <w:szCs w:val="22"/>
              </w:rPr>
              <w:t>Determine attendant console requirements</w:t>
            </w:r>
          </w:p>
          <w:p w14:paraId="5AB42EC3" w14:textId="4862963B" w:rsidR="006427BA" w:rsidRPr="00FC6098" w:rsidRDefault="006427BA" w:rsidP="000567A5">
            <w:pPr>
              <w:pStyle w:val="ListParagraph"/>
              <w:widowControl/>
              <w:numPr>
                <w:ilvl w:val="0"/>
                <w:numId w:val="61"/>
              </w:numPr>
              <w:autoSpaceDE/>
              <w:autoSpaceDN/>
              <w:adjustRightInd/>
              <w:jc w:val="left"/>
              <w:cnfStyle w:val="000000010000" w:firstRow="0" w:lastRow="0" w:firstColumn="0" w:lastColumn="0" w:oddVBand="0" w:evenVBand="0" w:oddHBand="0" w:evenHBand="1" w:firstRowFirstColumn="0" w:firstRowLastColumn="0" w:lastRowFirstColumn="0" w:lastRowLastColumn="0"/>
              <w:rPr>
                <w:sz w:val="22"/>
                <w:szCs w:val="22"/>
              </w:rPr>
            </w:pPr>
            <w:r w:rsidRPr="00FC6098">
              <w:rPr>
                <w:sz w:val="22"/>
                <w:szCs w:val="22"/>
              </w:rPr>
              <w:t>Determine call accounting requirements</w:t>
            </w:r>
          </w:p>
        </w:tc>
      </w:tr>
      <w:tr w:rsidR="006427BA" w:rsidRPr="0023460F" w14:paraId="6954C8A4" w14:textId="77777777" w:rsidTr="00F16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Pr>
          <w:p w14:paraId="488C413E" w14:textId="77777777" w:rsidR="006427BA" w:rsidRPr="0023460F" w:rsidRDefault="006427BA" w:rsidP="00A35602">
            <w:pPr>
              <w:rPr>
                <w:sz w:val="22"/>
                <w:szCs w:val="22"/>
              </w:rPr>
            </w:pPr>
            <w:r w:rsidRPr="0023460F">
              <w:rPr>
                <w:sz w:val="22"/>
                <w:szCs w:val="22"/>
              </w:rPr>
              <w:t>Plan the Cutover</w:t>
            </w:r>
          </w:p>
        </w:tc>
        <w:tc>
          <w:tcPr>
            <w:tcW w:w="6030" w:type="dxa"/>
          </w:tcPr>
          <w:p w14:paraId="47AFCDA7" w14:textId="77777777" w:rsidR="006427BA" w:rsidRPr="00FC6098" w:rsidRDefault="006427BA" w:rsidP="000567A5">
            <w:pPr>
              <w:pStyle w:val="ListParagraph"/>
              <w:widowControl/>
              <w:numPr>
                <w:ilvl w:val="0"/>
                <w:numId w:val="62"/>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Coordinate building/room access</w:t>
            </w:r>
          </w:p>
          <w:p w14:paraId="3E71493F" w14:textId="77777777" w:rsidR="006427BA" w:rsidRPr="00FC6098" w:rsidRDefault="006427BA" w:rsidP="000567A5">
            <w:pPr>
              <w:pStyle w:val="ListParagraph"/>
              <w:widowControl/>
              <w:numPr>
                <w:ilvl w:val="0"/>
                <w:numId w:val="62"/>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Confirm availability of critical personnel</w:t>
            </w:r>
          </w:p>
          <w:p w14:paraId="1B13DDF7" w14:textId="77777777" w:rsidR="006427BA" w:rsidRPr="00FC6098" w:rsidRDefault="006427BA" w:rsidP="000567A5">
            <w:pPr>
              <w:pStyle w:val="ListParagraph"/>
              <w:widowControl/>
              <w:numPr>
                <w:ilvl w:val="0"/>
                <w:numId w:val="62"/>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Determine facility transition methods</w:t>
            </w:r>
          </w:p>
          <w:p w14:paraId="64370BAB" w14:textId="77777777" w:rsidR="006427BA" w:rsidRPr="00FC6098" w:rsidRDefault="006427BA" w:rsidP="000567A5">
            <w:pPr>
              <w:pStyle w:val="ListParagraph"/>
              <w:widowControl/>
              <w:numPr>
                <w:ilvl w:val="0"/>
                <w:numId w:val="62"/>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Develop training plan and new operating procedures</w:t>
            </w:r>
          </w:p>
          <w:p w14:paraId="2EC78F24" w14:textId="77777777" w:rsidR="006427BA" w:rsidRPr="00FC6098" w:rsidRDefault="006427BA" w:rsidP="000567A5">
            <w:pPr>
              <w:pStyle w:val="ListParagraph"/>
              <w:widowControl/>
              <w:numPr>
                <w:ilvl w:val="0"/>
                <w:numId w:val="62"/>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lastRenderedPageBreak/>
              <w:t>Develop station numbering plan</w:t>
            </w:r>
          </w:p>
          <w:p w14:paraId="38CB20C2" w14:textId="77777777" w:rsidR="006427BA" w:rsidRPr="00FC6098" w:rsidRDefault="006427BA" w:rsidP="000567A5">
            <w:pPr>
              <w:pStyle w:val="ListParagraph"/>
              <w:widowControl/>
              <w:numPr>
                <w:ilvl w:val="0"/>
                <w:numId w:val="62"/>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Determine protection requirements</w:t>
            </w:r>
          </w:p>
          <w:p w14:paraId="63B493A8" w14:textId="77777777" w:rsidR="006427BA" w:rsidRPr="00FC6098" w:rsidRDefault="006427BA" w:rsidP="000567A5">
            <w:pPr>
              <w:pStyle w:val="ListParagraph"/>
              <w:widowControl/>
              <w:numPr>
                <w:ilvl w:val="0"/>
                <w:numId w:val="62"/>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 xml:space="preserve">Develop cutover methods </w:t>
            </w:r>
          </w:p>
          <w:p w14:paraId="2191846D" w14:textId="77777777" w:rsidR="006427BA" w:rsidRPr="00FC6098" w:rsidRDefault="006427BA" w:rsidP="000567A5">
            <w:pPr>
              <w:pStyle w:val="ListParagraph"/>
              <w:widowControl/>
              <w:numPr>
                <w:ilvl w:val="0"/>
                <w:numId w:val="62"/>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Develop cutover schedule</w:t>
            </w:r>
          </w:p>
          <w:p w14:paraId="66920EC1" w14:textId="60DE8894" w:rsidR="006427BA" w:rsidRPr="00FC6098" w:rsidRDefault="006427BA" w:rsidP="000567A5">
            <w:pPr>
              <w:pStyle w:val="ListParagraph"/>
              <w:widowControl/>
              <w:numPr>
                <w:ilvl w:val="1"/>
                <w:numId w:val="69"/>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 xml:space="preserve">Cutover Timing: Hot cuts should always be conducted after the close of business or during off-peak usage times (access may be </w:t>
            </w:r>
            <w:r w:rsidR="00B54FD0" w:rsidRPr="00B54FD0">
              <w:rPr>
                <w:sz w:val="22"/>
                <w:szCs w:val="22"/>
              </w:rPr>
              <w:t>required,</w:t>
            </w:r>
            <w:r w:rsidRPr="00FC6098">
              <w:rPr>
                <w:sz w:val="22"/>
                <w:szCs w:val="22"/>
              </w:rPr>
              <w:t xml:space="preserve"> and additional charges may apply for </w:t>
            </w:r>
            <w:r w:rsidR="00D90A94" w:rsidRPr="00D90A94">
              <w:rPr>
                <w:sz w:val="22"/>
                <w:szCs w:val="22"/>
              </w:rPr>
              <w:t>after-hour</w:t>
            </w:r>
            <w:r w:rsidR="00D90A94">
              <w:rPr>
                <w:sz w:val="22"/>
                <w:szCs w:val="22"/>
              </w:rPr>
              <w:t>s</w:t>
            </w:r>
            <w:r w:rsidR="004912AA" w:rsidRPr="00FC6098">
              <w:rPr>
                <w:sz w:val="22"/>
                <w:szCs w:val="22"/>
              </w:rPr>
              <w:t xml:space="preserve"> support by providers)</w:t>
            </w:r>
          </w:p>
          <w:p w14:paraId="0C4CF50F" w14:textId="00173AEA" w:rsidR="006427BA" w:rsidRPr="00FC6098" w:rsidRDefault="006427BA" w:rsidP="000567A5">
            <w:pPr>
              <w:pStyle w:val="ListParagraph"/>
              <w:widowControl/>
              <w:numPr>
                <w:ilvl w:val="1"/>
                <w:numId w:val="69"/>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Depending on the agency’s level of risk tolerance, parallel cutovers can be co</w:t>
            </w:r>
            <w:r w:rsidR="004912AA" w:rsidRPr="00FC6098">
              <w:rPr>
                <w:sz w:val="22"/>
                <w:szCs w:val="22"/>
              </w:rPr>
              <w:t>nducted during the business day</w:t>
            </w:r>
          </w:p>
          <w:p w14:paraId="7F61E5FC" w14:textId="0EE578A4" w:rsidR="006427BA" w:rsidRPr="00FC6098" w:rsidRDefault="006427BA" w:rsidP="000567A5">
            <w:pPr>
              <w:pStyle w:val="ListParagraph"/>
              <w:widowControl/>
              <w:numPr>
                <w:ilvl w:val="1"/>
                <w:numId w:val="69"/>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Consider impacts from agency mission blackout dates</w:t>
            </w:r>
            <w:r w:rsidR="004912AA" w:rsidRPr="00FC6098">
              <w:rPr>
                <w:sz w:val="22"/>
                <w:szCs w:val="22"/>
              </w:rPr>
              <w:t xml:space="preserve"> and weather conditions</w:t>
            </w:r>
            <w:r w:rsidRPr="00FC6098">
              <w:rPr>
                <w:sz w:val="22"/>
                <w:szCs w:val="22"/>
              </w:rPr>
              <w:t xml:space="preserve"> </w:t>
            </w:r>
          </w:p>
          <w:p w14:paraId="69C0F4D2" w14:textId="77777777" w:rsidR="006427BA" w:rsidRPr="00FC6098" w:rsidRDefault="006427BA" w:rsidP="000567A5">
            <w:pPr>
              <w:pStyle w:val="ListParagraph"/>
              <w:widowControl/>
              <w:numPr>
                <w:ilvl w:val="0"/>
                <w:numId w:val="62"/>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Develop pre-cutover and post-cutover testing methods and checklists</w:t>
            </w:r>
          </w:p>
          <w:p w14:paraId="2A7D1B4B" w14:textId="77777777" w:rsidR="006427BA" w:rsidRPr="00FC6098" w:rsidRDefault="006427BA" w:rsidP="000567A5">
            <w:pPr>
              <w:pStyle w:val="ListParagraph"/>
              <w:widowControl/>
              <w:numPr>
                <w:ilvl w:val="0"/>
                <w:numId w:val="62"/>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Develop security and anti-toll fraud measures</w:t>
            </w:r>
          </w:p>
          <w:p w14:paraId="1C8CE184" w14:textId="77777777" w:rsidR="006427BA" w:rsidRPr="00FC6098" w:rsidRDefault="006427BA" w:rsidP="000567A5">
            <w:pPr>
              <w:pStyle w:val="ListParagraph"/>
              <w:widowControl/>
              <w:numPr>
                <w:ilvl w:val="0"/>
                <w:numId w:val="62"/>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Develop change control procedures</w:t>
            </w:r>
          </w:p>
          <w:p w14:paraId="63B4538D" w14:textId="77777777" w:rsidR="006427BA" w:rsidRPr="00FC6098" w:rsidRDefault="006427BA" w:rsidP="000567A5">
            <w:pPr>
              <w:pStyle w:val="ListParagraph"/>
              <w:widowControl/>
              <w:numPr>
                <w:ilvl w:val="0"/>
                <w:numId w:val="62"/>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Identify critical facilities (users, stations, applications)</w:t>
            </w:r>
          </w:p>
          <w:p w14:paraId="17F636D2" w14:textId="77777777" w:rsidR="006427BA" w:rsidRPr="00FC6098" w:rsidRDefault="006427BA" w:rsidP="000567A5">
            <w:pPr>
              <w:pStyle w:val="ListParagraph"/>
              <w:widowControl/>
              <w:numPr>
                <w:ilvl w:val="0"/>
                <w:numId w:val="62"/>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Identify power-fail procedures</w:t>
            </w:r>
          </w:p>
          <w:p w14:paraId="5BA1CDA9" w14:textId="77777777" w:rsidR="006427BA" w:rsidRPr="00FC6098" w:rsidRDefault="006427BA" w:rsidP="000567A5">
            <w:pPr>
              <w:pStyle w:val="ListParagraph"/>
              <w:widowControl/>
              <w:numPr>
                <w:ilvl w:val="0"/>
                <w:numId w:val="62"/>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Determine station terminating arrangements</w:t>
            </w:r>
          </w:p>
          <w:p w14:paraId="695BAF26" w14:textId="77777777" w:rsidR="006427BA" w:rsidRPr="00FC6098" w:rsidRDefault="006427BA" w:rsidP="000567A5">
            <w:pPr>
              <w:pStyle w:val="ListParagraph"/>
              <w:widowControl/>
              <w:numPr>
                <w:ilvl w:val="0"/>
                <w:numId w:val="62"/>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Develop class-of-service and restriction plans</w:t>
            </w:r>
          </w:p>
          <w:p w14:paraId="7D5B2E13" w14:textId="15AC1B9C" w:rsidR="006427BA" w:rsidRPr="00FC6098" w:rsidRDefault="006427BA" w:rsidP="000567A5">
            <w:pPr>
              <w:pStyle w:val="ListParagraph"/>
              <w:widowControl/>
              <w:numPr>
                <w:ilvl w:val="0"/>
                <w:numId w:val="62"/>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Develop voicemail plans</w:t>
            </w:r>
          </w:p>
          <w:p w14:paraId="2E0396F9" w14:textId="77777777" w:rsidR="006427BA" w:rsidRPr="00FC6098" w:rsidRDefault="006427BA" w:rsidP="000567A5">
            <w:pPr>
              <w:pStyle w:val="ListParagraph"/>
              <w:widowControl/>
              <w:numPr>
                <w:ilvl w:val="0"/>
                <w:numId w:val="62"/>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Compile station records</w:t>
            </w:r>
          </w:p>
          <w:p w14:paraId="5AC3A2E6" w14:textId="77777777" w:rsidR="006427BA" w:rsidRPr="00FC6098" w:rsidRDefault="006427BA" w:rsidP="000567A5">
            <w:pPr>
              <w:pStyle w:val="ListParagraph"/>
              <w:widowControl/>
              <w:numPr>
                <w:ilvl w:val="0"/>
                <w:numId w:val="62"/>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Assign station numbers</w:t>
            </w:r>
          </w:p>
          <w:p w14:paraId="1E4D4698" w14:textId="77777777" w:rsidR="006427BA" w:rsidRPr="00FC6098" w:rsidRDefault="006427BA" w:rsidP="000567A5">
            <w:pPr>
              <w:pStyle w:val="ListParagraph"/>
              <w:widowControl/>
              <w:numPr>
                <w:ilvl w:val="0"/>
                <w:numId w:val="62"/>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Develop intercept plans</w:t>
            </w:r>
          </w:p>
          <w:p w14:paraId="159A046C" w14:textId="77777777" w:rsidR="006427BA" w:rsidRPr="00FC6098" w:rsidRDefault="006427BA" w:rsidP="000567A5">
            <w:pPr>
              <w:pStyle w:val="ListParagraph"/>
              <w:widowControl/>
              <w:numPr>
                <w:ilvl w:val="0"/>
                <w:numId w:val="62"/>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Reprint directories</w:t>
            </w:r>
          </w:p>
          <w:p w14:paraId="50A8567C" w14:textId="2BB57C5A" w:rsidR="006427BA" w:rsidRPr="00FC6098" w:rsidRDefault="006427BA" w:rsidP="000567A5">
            <w:pPr>
              <w:pStyle w:val="ListParagraph"/>
              <w:widowControl/>
              <w:numPr>
                <w:ilvl w:val="0"/>
                <w:numId w:val="62"/>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Reprint station</w:t>
            </w:r>
            <w:r w:rsidR="00477DDD">
              <w:rPr>
                <w:sz w:val="22"/>
                <w:szCs w:val="22"/>
              </w:rPr>
              <w:t>e</w:t>
            </w:r>
            <w:r w:rsidRPr="00FC6098">
              <w:rPr>
                <w:sz w:val="22"/>
                <w:szCs w:val="22"/>
              </w:rPr>
              <w:t>ry</w:t>
            </w:r>
          </w:p>
          <w:p w14:paraId="650AB62D" w14:textId="77777777" w:rsidR="006427BA" w:rsidRPr="00FC6098" w:rsidRDefault="006427BA" w:rsidP="000567A5">
            <w:pPr>
              <w:pStyle w:val="ListParagraph"/>
              <w:widowControl/>
              <w:numPr>
                <w:ilvl w:val="0"/>
                <w:numId w:val="62"/>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Develop wiring plans</w:t>
            </w:r>
          </w:p>
          <w:p w14:paraId="66FBC219" w14:textId="77777777" w:rsidR="006427BA" w:rsidRPr="00FC6098" w:rsidRDefault="006427BA" w:rsidP="000567A5">
            <w:pPr>
              <w:pStyle w:val="ListParagraph"/>
              <w:widowControl/>
              <w:numPr>
                <w:ilvl w:val="0"/>
                <w:numId w:val="62"/>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Determine and publicize “freeze” dates</w:t>
            </w:r>
          </w:p>
          <w:p w14:paraId="63522C8B" w14:textId="5A213299" w:rsidR="006427BA" w:rsidRPr="00FC6098" w:rsidRDefault="006427BA" w:rsidP="000567A5">
            <w:pPr>
              <w:pStyle w:val="ListParagraph"/>
              <w:widowControl/>
              <w:numPr>
                <w:ilvl w:val="0"/>
                <w:numId w:val="62"/>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Develop contingency</w:t>
            </w:r>
            <w:r w:rsidR="009D0A97">
              <w:rPr>
                <w:sz w:val="22"/>
                <w:szCs w:val="22"/>
              </w:rPr>
              <w:t xml:space="preserve"> </w:t>
            </w:r>
            <w:r w:rsidRPr="00FC6098">
              <w:rPr>
                <w:sz w:val="22"/>
                <w:szCs w:val="22"/>
              </w:rPr>
              <w:t>fallback</w:t>
            </w:r>
            <w:r w:rsidR="009D0A97">
              <w:rPr>
                <w:sz w:val="22"/>
                <w:szCs w:val="22"/>
              </w:rPr>
              <w:t xml:space="preserve"> or failover</w:t>
            </w:r>
            <w:r w:rsidRPr="00FC6098">
              <w:rPr>
                <w:sz w:val="22"/>
                <w:szCs w:val="22"/>
              </w:rPr>
              <w:t xml:space="preserve"> plan: This plan allows for an alternative procedure in case the cutover schedule is delayed or unsuccessful.  Points to be considered in a </w:t>
            </w:r>
            <w:r w:rsidR="009D0A97">
              <w:rPr>
                <w:sz w:val="22"/>
                <w:szCs w:val="22"/>
              </w:rPr>
              <w:t>contingency</w:t>
            </w:r>
            <w:r w:rsidR="009D0A97" w:rsidRPr="00FC6098">
              <w:rPr>
                <w:sz w:val="22"/>
                <w:szCs w:val="22"/>
              </w:rPr>
              <w:t xml:space="preserve"> </w:t>
            </w:r>
            <w:r w:rsidRPr="00FC6098">
              <w:rPr>
                <w:sz w:val="22"/>
                <w:szCs w:val="22"/>
              </w:rPr>
              <w:t>plan include:</w:t>
            </w:r>
          </w:p>
          <w:p w14:paraId="6283CD2D" w14:textId="77777777" w:rsidR="006427BA" w:rsidRPr="00FC6098" w:rsidRDefault="006427BA" w:rsidP="000567A5">
            <w:pPr>
              <w:pStyle w:val="ListParagraph"/>
              <w:widowControl/>
              <w:numPr>
                <w:ilvl w:val="1"/>
                <w:numId w:val="69"/>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What other projects depend on the completion of this plan?</w:t>
            </w:r>
          </w:p>
          <w:p w14:paraId="75631AC6" w14:textId="77777777" w:rsidR="006427BA" w:rsidRPr="00FC6098" w:rsidRDefault="006427BA" w:rsidP="000567A5">
            <w:pPr>
              <w:pStyle w:val="ListParagraph"/>
              <w:widowControl/>
              <w:numPr>
                <w:ilvl w:val="1"/>
                <w:numId w:val="69"/>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What penalty will be paid if this plan is delayed?</w:t>
            </w:r>
          </w:p>
          <w:p w14:paraId="76071F8D" w14:textId="77777777" w:rsidR="006427BA" w:rsidRPr="00FC6098" w:rsidRDefault="006427BA" w:rsidP="000567A5">
            <w:pPr>
              <w:pStyle w:val="ListParagraph"/>
              <w:widowControl/>
              <w:numPr>
                <w:ilvl w:val="1"/>
                <w:numId w:val="69"/>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What is the probability of delay?</w:t>
            </w:r>
          </w:p>
          <w:p w14:paraId="0A526DB8" w14:textId="77777777" w:rsidR="006427BA" w:rsidRPr="00FC6098" w:rsidRDefault="006427BA" w:rsidP="000567A5">
            <w:pPr>
              <w:pStyle w:val="ListParagraph"/>
              <w:widowControl/>
              <w:numPr>
                <w:ilvl w:val="1"/>
                <w:numId w:val="69"/>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What factors could cause the cutover to be delayed?</w:t>
            </w:r>
          </w:p>
          <w:p w14:paraId="1747EB50" w14:textId="77777777" w:rsidR="006427BA" w:rsidRPr="00FC6098" w:rsidRDefault="006427BA" w:rsidP="000567A5">
            <w:pPr>
              <w:pStyle w:val="ListParagraph"/>
              <w:widowControl/>
              <w:numPr>
                <w:ilvl w:val="1"/>
                <w:numId w:val="69"/>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What alternatives are available to hold the schedule despite delays?</w:t>
            </w:r>
          </w:p>
          <w:p w14:paraId="3D1B09C5" w14:textId="0AC01DCC" w:rsidR="006427BA" w:rsidRPr="00FC6098" w:rsidRDefault="006427BA" w:rsidP="000567A5">
            <w:pPr>
              <w:pStyle w:val="ListParagraph"/>
              <w:widowControl/>
              <w:numPr>
                <w:ilvl w:val="1"/>
                <w:numId w:val="69"/>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What conditions demand a fallback</w:t>
            </w:r>
            <w:r w:rsidR="009D0A97">
              <w:rPr>
                <w:sz w:val="22"/>
                <w:szCs w:val="22"/>
              </w:rPr>
              <w:t xml:space="preserve"> or failover</w:t>
            </w:r>
            <w:r w:rsidRPr="00FC6098">
              <w:rPr>
                <w:sz w:val="22"/>
                <w:szCs w:val="22"/>
              </w:rPr>
              <w:t xml:space="preserve"> decision?</w:t>
            </w:r>
          </w:p>
          <w:p w14:paraId="51529CC3" w14:textId="5C31B502" w:rsidR="006427BA" w:rsidRPr="00FC6098" w:rsidRDefault="006427BA" w:rsidP="000567A5">
            <w:pPr>
              <w:pStyle w:val="ListParagraph"/>
              <w:widowControl/>
              <w:numPr>
                <w:ilvl w:val="1"/>
                <w:numId w:val="69"/>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Who makes the fallback</w:t>
            </w:r>
            <w:r w:rsidR="009D0A97">
              <w:rPr>
                <w:sz w:val="22"/>
                <w:szCs w:val="22"/>
              </w:rPr>
              <w:t xml:space="preserve"> or failover</w:t>
            </w:r>
            <w:r w:rsidRPr="00FC6098">
              <w:rPr>
                <w:sz w:val="22"/>
                <w:szCs w:val="22"/>
              </w:rPr>
              <w:t xml:space="preserve"> decision?</w:t>
            </w:r>
          </w:p>
        </w:tc>
      </w:tr>
      <w:tr w:rsidR="006427BA" w:rsidRPr="0023460F" w14:paraId="42C768C8" w14:textId="77777777" w:rsidTr="00F162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Pr>
          <w:p w14:paraId="74A239AE" w14:textId="77777777" w:rsidR="006427BA" w:rsidRPr="0023460F" w:rsidRDefault="006427BA" w:rsidP="00A35602">
            <w:pPr>
              <w:jc w:val="left"/>
              <w:rPr>
                <w:sz w:val="22"/>
                <w:szCs w:val="22"/>
              </w:rPr>
            </w:pPr>
            <w:r w:rsidRPr="0023460F">
              <w:rPr>
                <w:sz w:val="22"/>
                <w:szCs w:val="22"/>
              </w:rPr>
              <w:lastRenderedPageBreak/>
              <w:t>Prepare the Equipment Facilities</w:t>
            </w:r>
          </w:p>
        </w:tc>
        <w:tc>
          <w:tcPr>
            <w:tcW w:w="6030" w:type="dxa"/>
          </w:tcPr>
          <w:p w14:paraId="0E8BBCF4" w14:textId="77777777" w:rsidR="006427BA" w:rsidRPr="00FC6098" w:rsidRDefault="006427BA" w:rsidP="000567A5">
            <w:pPr>
              <w:pStyle w:val="ListParagraph"/>
              <w:widowControl/>
              <w:numPr>
                <w:ilvl w:val="0"/>
                <w:numId w:val="63"/>
              </w:numPr>
              <w:autoSpaceDE/>
              <w:autoSpaceDN/>
              <w:adjustRightInd/>
              <w:jc w:val="left"/>
              <w:cnfStyle w:val="000000010000" w:firstRow="0" w:lastRow="0" w:firstColumn="0" w:lastColumn="0" w:oddVBand="0" w:evenVBand="0" w:oddHBand="0" w:evenHBand="1" w:firstRowFirstColumn="0" w:firstRowLastColumn="0" w:lastRowFirstColumn="0" w:lastRowLastColumn="0"/>
              <w:rPr>
                <w:sz w:val="22"/>
                <w:szCs w:val="22"/>
              </w:rPr>
            </w:pPr>
            <w:r w:rsidRPr="00FC6098">
              <w:rPr>
                <w:sz w:val="22"/>
                <w:szCs w:val="22"/>
              </w:rPr>
              <w:t>Select location</w:t>
            </w:r>
          </w:p>
          <w:p w14:paraId="21DC901E" w14:textId="77777777" w:rsidR="006427BA" w:rsidRPr="00FC6098" w:rsidRDefault="006427BA" w:rsidP="000567A5">
            <w:pPr>
              <w:pStyle w:val="ListParagraph"/>
              <w:widowControl/>
              <w:numPr>
                <w:ilvl w:val="0"/>
                <w:numId w:val="63"/>
              </w:numPr>
              <w:autoSpaceDE/>
              <w:autoSpaceDN/>
              <w:adjustRightInd/>
              <w:jc w:val="left"/>
              <w:cnfStyle w:val="000000010000" w:firstRow="0" w:lastRow="0" w:firstColumn="0" w:lastColumn="0" w:oddVBand="0" w:evenVBand="0" w:oddHBand="0" w:evenHBand="1" w:firstRowFirstColumn="0" w:firstRowLastColumn="0" w:lastRowFirstColumn="0" w:lastRowLastColumn="0"/>
              <w:rPr>
                <w:sz w:val="22"/>
                <w:szCs w:val="22"/>
              </w:rPr>
            </w:pPr>
            <w:r w:rsidRPr="00FC6098">
              <w:rPr>
                <w:sz w:val="22"/>
                <w:szCs w:val="22"/>
              </w:rPr>
              <w:t>Assure the building possesses all the necessary facilities for a successful cutover</w:t>
            </w:r>
          </w:p>
          <w:p w14:paraId="2591A092" w14:textId="77777777" w:rsidR="006427BA" w:rsidRPr="00FC6098" w:rsidRDefault="006427BA" w:rsidP="000567A5">
            <w:pPr>
              <w:pStyle w:val="ListParagraph"/>
              <w:widowControl/>
              <w:numPr>
                <w:ilvl w:val="0"/>
                <w:numId w:val="63"/>
              </w:numPr>
              <w:autoSpaceDE/>
              <w:autoSpaceDN/>
              <w:adjustRightInd/>
              <w:jc w:val="left"/>
              <w:cnfStyle w:val="000000010000" w:firstRow="0" w:lastRow="0" w:firstColumn="0" w:lastColumn="0" w:oddVBand="0" w:evenVBand="0" w:oddHBand="0" w:evenHBand="1" w:firstRowFirstColumn="0" w:firstRowLastColumn="0" w:lastRowFirstColumn="0" w:lastRowLastColumn="0"/>
              <w:rPr>
                <w:sz w:val="22"/>
                <w:szCs w:val="22"/>
              </w:rPr>
            </w:pPr>
            <w:r w:rsidRPr="00FC6098">
              <w:rPr>
                <w:sz w:val="22"/>
                <w:szCs w:val="22"/>
              </w:rPr>
              <w:t>Develop equipment room drawings</w:t>
            </w:r>
          </w:p>
          <w:p w14:paraId="5EC9DA6D" w14:textId="77777777" w:rsidR="006427BA" w:rsidRPr="00FC6098" w:rsidRDefault="006427BA" w:rsidP="000567A5">
            <w:pPr>
              <w:pStyle w:val="ListParagraph"/>
              <w:widowControl/>
              <w:numPr>
                <w:ilvl w:val="0"/>
                <w:numId w:val="63"/>
              </w:numPr>
              <w:autoSpaceDE/>
              <w:autoSpaceDN/>
              <w:adjustRightInd/>
              <w:jc w:val="left"/>
              <w:cnfStyle w:val="000000010000" w:firstRow="0" w:lastRow="0" w:firstColumn="0" w:lastColumn="0" w:oddVBand="0" w:evenVBand="0" w:oddHBand="0" w:evenHBand="1" w:firstRowFirstColumn="0" w:firstRowLastColumn="0" w:lastRowFirstColumn="0" w:lastRowLastColumn="0"/>
              <w:rPr>
                <w:sz w:val="22"/>
                <w:szCs w:val="22"/>
              </w:rPr>
            </w:pPr>
            <w:r w:rsidRPr="00FC6098">
              <w:rPr>
                <w:sz w:val="22"/>
                <w:szCs w:val="22"/>
              </w:rPr>
              <w:t>Prepare equipment room</w:t>
            </w:r>
          </w:p>
          <w:p w14:paraId="00CD7C31" w14:textId="77777777" w:rsidR="006427BA" w:rsidRPr="00FC6098" w:rsidRDefault="006427BA" w:rsidP="000567A5">
            <w:pPr>
              <w:pStyle w:val="ListParagraph"/>
              <w:widowControl/>
              <w:numPr>
                <w:ilvl w:val="0"/>
                <w:numId w:val="63"/>
              </w:numPr>
              <w:autoSpaceDE/>
              <w:autoSpaceDN/>
              <w:adjustRightInd/>
              <w:jc w:val="left"/>
              <w:cnfStyle w:val="000000010000" w:firstRow="0" w:lastRow="0" w:firstColumn="0" w:lastColumn="0" w:oddVBand="0" w:evenVBand="0" w:oddHBand="0" w:evenHBand="1" w:firstRowFirstColumn="0" w:firstRowLastColumn="0" w:lastRowFirstColumn="0" w:lastRowLastColumn="0"/>
              <w:rPr>
                <w:sz w:val="22"/>
                <w:szCs w:val="22"/>
              </w:rPr>
            </w:pPr>
            <w:r w:rsidRPr="00FC6098">
              <w:rPr>
                <w:sz w:val="22"/>
                <w:szCs w:val="22"/>
              </w:rPr>
              <w:lastRenderedPageBreak/>
              <w:t>Prepare electrical wiring</w:t>
            </w:r>
          </w:p>
          <w:p w14:paraId="66220930" w14:textId="77777777" w:rsidR="006427BA" w:rsidRPr="00FC6098" w:rsidRDefault="006427BA" w:rsidP="000567A5">
            <w:pPr>
              <w:pStyle w:val="ListParagraph"/>
              <w:widowControl/>
              <w:numPr>
                <w:ilvl w:val="0"/>
                <w:numId w:val="63"/>
              </w:numPr>
              <w:autoSpaceDE/>
              <w:autoSpaceDN/>
              <w:adjustRightInd/>
              <w:jc w:val="left"/>
              <w:cnfStyle w:val="000000010000" w:firstRow="0" w:lastRow="0" w:firstColumn="0" w:lastColumn="0" w:oddVBand="0" w:evenVBand="0" w:oddHBand="0" w:evenHBand="1" w:firstRowFirstColumn="0" w:firstRowLastColumn="0" w:lastRowFirstColumn="0" w:lastRowLastColumn="0"/>
              <w:rPr>
                <w:sz w:val="22"/>
                <w:szCs w:val="22"/>
              </w:rPr>
            </w:pPr>
            <w:r w:rsidRPr="00FC6098">
              <w:rPr>
                <w:sz w:val="22"/>
                <w:szCs w:val="22"/>
              </w:rPr>
              <w:t>Prepare HVAC</w:t>
            </w:r>
          </w:p>
        </w:tc>
      </w:tr>
      <w:tr w:rsidR="006427BA" w:rsidRPr="0023460F" w14:paraId="1ACB5239" w14:textId="77777777" w:rsidTr="00F16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Pr>
          <w:p w14:paraId="770B86A3" w14:textId="77777777" w:rsidR="006427BA" w:rsidRPr="0023460F" w:rsidRDefault="006427BA" w:rsidP="00A35602">
            <w:pPr>
              <w:jc w:val="left"/>
              <w:rPr>
                <w:sz w:val="22"/>
                <w:szCs w:val="22"/>
              </w:rPr>
            </w:pPr>
            <w:r w:rsidRPr="0023460F">
              <w:rPr>
                <w:sz w:val="22"/>
                <w:szCs w:val="22"/>
              </w:rPr>
              <w:lastRenderedPageBreak/>
              <w:t>Select and Order Network Facilities</w:t>
            </w:r>
          </w:p>
        </w:tc>
        <w:tc>
          <w:tcPr>
            <w:tcW w:w="6030" w:type="dxa"/>
          </w:tcPr>
          <w:p w14:paraId="10390E15" w14:textId="77777777" w:rsidR="006427BA" w:rsidRPr="00FC6098" w:rsidRDefault="006427BA" w:rsidP="000567A5">
            <w:pPr>
              <w:pStyle w:val="ListParagraph"/>
              <w:widowControl/>
              <w:numPr>
                <w:ilvl w:val="0"/>
                <w:numId w:val="64"/>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Determine network facility requirements</w:t>
            </w:r>
          </w:p>
          <w:p w14:paraId="77DE00A3" w14:textId="77777777" w:rsidR="006427BA" w:rsidRPr="00FC6098" w:rsidRDefault="006427BA" w:rsidP="000567A5">
            <w:pPr>
              <w:pStyle w:val="ListParagraph"/>
              <w:widowControl/>
              <w:numPr>
                <w:ilvl w:val="0"/>
                <w:numId w:val="64"/>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Place orders for services</w:t>
            </w:r>
          </w:p>
        </w:tc>
      </w:tr>
      <w:tr w:rsidR="006427BA" w:rsidRPr="0023460F" w14:paraId="70C6D5E5" w14:textId="77777777" w:rsidTr="00F162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Pr>
          <w:p w14:paraId="051E027E" w14:textId="77777777" w:rsidR="006427BA" w:rsidRPr="0023460F" w:rsidRDefault="006427BA" w:rsidP="00A35602">
            <w:pPr>
              <w:rPr>
                <w:sz w:val="22"/>
                <w:szCs w:val="22"/>
              </w:rPr>
            </w:pPr>
            <w:r w:rsidRPr="0023460F">
              <w:rPr>
                <w:sz w:val="22"/>
                <w:szCs w:val="22"/>
              </w:rPr>
              <w:t>Order Equipment</w:t>
            </w:r>
          </w:p>
        </w:tc>
        <w:tc>
          <w:tcPr>
            <w:tcW w:w="6030" w:type="dxa"/>
          </w:tcPr>
          <w:p w14:paraId="6B524E93" w14:textId="77777777" w:rsidR="006427BA" w:rsidRPr="00FC6098" w:rsidRDefault="006427BA" w:rsidP="000567A5">
            <w:pPr>
              <w:pStyle w:val="ListParagraph"/>
              <w:widowControl/>
              <w:numPr>
                <w:ilvl w:val="0"/>
                <w:numId w:val="65"/>
              </w:numPr>
              <w:autoSpaceDE/>
              <w:autoSpaceDN/>
              <w:adjustRightInd/>
              <w:jc w:val="left"/>
              <w:cnfStyle w:val="000000010000" w:firstRow="0" w:lastRow="0" w:firstColumn="0" w:lastColumn="0" w:oddVBand="0" w:evenVBand="0" w:oddHBand="0" w:evenHBand="1" w:firstRowFirstColumn="0" w:firstRowLastColumn="0" w:lastRowFirstColumn="0" w:lastRowLastColumn="0"/>
              <w:rPr>
                <w:sz w:val="22"/>
                <w:szCs w:val="22"/>
              </w:rPr>
            </w:pPr>
            <w:r w:rsidRPr="00FC6098">
              <w:rPr>
                <w:sz w:val="22"/>
                <w:szCs w:val="22"/>
              </w:rPr>
              <w:t>Place orders for telecommunications equipment</w:t>
            </w:r>
          </w:p>
          <w:p w14:paraId="4F9D3D16" w14:textId="77777777" w:rsidR="006427BA" w:rsidRPr="00FC6098" w:rsidRDefault="006427BA" w:rsidP="000567A5">
            <w:pPr>
              <w:pStyle w:val="ListParagraph"/>
              <w:widowControl/>
              <w:numPr>
                <w:ilvl w:val="0"/>
                <w:numId w:val="65"/>
              </w:numPr>
              <w:autoSpaceDE/>
              <w:autoSpaceDN/>
              <w:adjustRightInd/>
              <w:spacing w:after="200" w:line="276" w:lineRule="auto"/>
              <w:jc w:val="left"/>
              <w:cnfStyle w:val="000000010000" w:firstRow="0" w:lastRow="0" w:firstColumn="0" w:lastColumn="0" w:oddVBand="0" w:evenVBand="0" w:oddHBand="0" w:evenHBand="1" w:firstRowFirstColumn="0" w:firstRowLastColumn="0" w:lastRowFirstColumn="0" w:lastRowLastColumn="0"/>
              <w:rPr>
                <w:sz w:val="22"/>
                <w:szCs w:val="22"/>
              </w:rPr>
            </w:pPr>
            <w:r w:rsidRPr="00FC6098">
              <w:rPr>
                <w:sz w:val="22"/>
                <w:szCs w:val="22"/>
              </w:rPr>
              <w:t>Ensure POC is available to accept and store equipment securely</w:t>
            </w:r>
          </w:p>
          <w:p w14:paraId="5E3D4D2E" w14:textId="77777777" w:rsidR="006427BA" w:rsidRPr="00FC6098" w:rsidRDefault="006427BA" w:rsidP="000567A5">
            <w:pPr>
              <w:pStyle w:val="ListParagraph"/>
              <w:widowControl/>
              <w:numPr>
                <w:ilvl w:val="0"/>
                <w:numId w:val="65"/>
              </w:numPr>
              <w:autoSpaceDE/>
              <w:autoSpaceDN/>
              <w:adjustRightInd/>
              <w:jc w:val="left"/>
              <w:cnfStyle w:val="000000010000" w:firstRow="0" w:lastRow="0" w:firstColumn="0" w:lastColumn="0" w:oddVBand="0" w:evenVBand="0" w:oddHBand="0" w:evenHBand="1" w:firstRowFirstColumn="0" w:firstRowLastColumn="0" w:lastRowFirstColumn="0" w:lastRowLastColumn="0"/>
              <w:rPr>
                <w:sz w:val="22"/>
                <w:szCs w:val="22"/>
              </w:rPr>
            </w:pPr>
            <w:r w:rsidRPr="00FC6098">
              <w:rPr>
                <w:sz w:val="22"/>
                <w:szCs w:val="22"/>
              </w:rPr>
              <w:t>Receive equipment</w:t>
            </w:r>
          </w:p>
        </w:tc>
      </w:tr>
      <w:tr w:rsidR="006427BA" w:rsidRPr="0023460F" w14:paraId="500997DA" w14:textId="77777777" w:rsidTr="00F16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Pr>
          <w:p w14:paraId="17089985" w14:textId="77777777" w:rsidR="006427BA" w:rsidRPr="0023460F" w:rsidRDefault="006427BA" w:rsidP="00A35602">
            <w:pPr>
              <w:rPr>
                <w:sz w:val="22"/>
                <w:szCs w:val="22"/>
              </w:rPr>
            </w:pPr>
            <w:r w:rsidRPr="0023460F">
              <w:rPr>
                <w:sz w:val="22"/>
                <w:szCs w:val="22"/>
              </w:rPr>
              <w:t>Install Cabling</w:t>
            </w:r>
          </w:p>
        </w:tc>
        <w:tc>
          <w:tcPr>
            <w:tcW w:w="6030" w:type="dxa"/>
          </w:tcPr>
          <w:p w14:paraId="3FF64960" w14:textId="77777777" w:rsidR="006427BA" w:rsidRPr="00FC6098" w:rsidRDefault="006427BA" w:rsidP="000567A5">
            <w:pPr>
              <w:pStyle w:val="ListParagraph"/>
              <w:widowControl/>
              <w:numPr>
                <w:ilvl w:val="0"/>
                <w:numId w:val="66"/>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Design distribution system</w:t>
            </w:r>
          </w:p>
          <w:p w14:paraId="6669BB58" w14:textId="77777777" w:rsidR="006427BA" w:rsidRPr="00FC6098" w:rsidRDefault="006427BA" w:rsidP="000567A5">
            <w:pPr>
              <w:pStyle w:val="ListParagraph"/>
              <w:widowControl/>
              <w:numPr>
                <w:ilvl w:val="0"/>
                <w:numId w:val="66"/>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Place and test station wiring</w:t>
            </w:r>
          </w:p>
          <w:p w14:paraId="01450626" w14:textId="1D104548" w:rsidR="006427BA" w:rsidRPr="00FC6098" w:rsidRDefault="006427BA" w:rsidP="000567A5">
            <w:pPr>
              <w:pStyle w:val="ListParagraph"/>
              <w:widowControl/>
              <w:numPr>
                <w:ilvl w:val="0"/>
                <w:numId w:val="66"/>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Place and test extended demar</w:t>
            </w:r>
            <w:r w:rsidR="009D0A97">
              <w:rPr>
                <w:sz w:val="22"/>
                <w:szCs w:val="22"/>
              </w:rPr>
              <w:t>cation</w:t>
            </w:r>
            <w:r w:rsidRPr="00FC6098">
              <w:rPr>
                <w:sz w:val="22"/>
                <w:szCs w:val="22"/>
              </w:rPr>
              <w:t xml:space="preserve"> wiring</w:t>
            </w:r>
          </w:p>
        </w:tc>
      </w:tr>
      <w:tr w:rsidR="006427BA" w:rsidRPr="0023460F" w14:paraId="0743099A" w14:textId="77777777" w:rsidTr="00F162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Pr>
          <w:p w14:paraId="1B135AF1" w14:textId="77777777" w:rsidR="006427BA" w:rsidRPr="0023460F" w:rsidRDefault="006427BA" w:rsidP="00A35602">
            <w:pPr>
              <w:rPr>
                <w:sz w:val="22"/>
                <w:szCs w:val="22"/>
              </w:rPr>
            </w:pPr>
            <w:r w:rsidRPr="0023460F">
              <w:rPr>
                <w:sz w:val="22"/>
                <w:szCs w:val="22"/>
              </w:rPr>
              <w:t>Install Equipment</w:t>
            </w:r>
          </w:p>
        </w:tc>
        <w:tc>
          <w:tcPr>
            <w:tcW w:w="6030" w:type="dxa"/>
          </w:tcPr>
          <w:p w14:paraId="50949F33" w14:textId="77777777" w:rsidR="006427BA" w:rsidRPr="00FC6098" w:rsidRDefault="006427BA" w:rsidP="000567A5">
            <w:pPr>
              <w:pStyle w:val="ListParagraph"/>
              <w:widowControl/>
              <w:numPr>
                <w:ilvl w:val="0"/>
                <w:numId w:val="67"/>
              </w:numPr>
              <w:autoSpaceDE/>
              <w:autoSpaceDN/>
              <w:adjustRightInd/>
              <w:jc w:val="left"/>
              <w:cnfStyle w:val="000000010000" w:firstRow="0" w:lastRow="0" w:firstColumn="0" w:lastColumn="0" w:oddVBand="0" w:evenVBand="0" w:oddHBand="0" w:evenHBand="1" w:firstRowFirstColumn="0" w:firstRowLastColumn="0" w:lastRowFirstColumn="0" w:lastRowLastColumn="0"/>
              <w:rPr>
                <w:sz w:val="22"/>
                <w:szCs w:val="22"/>
              </w:rPr>
            </w:pPr>
            <w:r w:rsidRPr="00FC6098">
              <w:rPr>
                <w:sz w:val="22"/>
                <w:szCs w:val="22"/>
              </w:rPr>
              <w:t>Ensure required inside wiring has been installed and tested</w:t>
            </w:r>
          </w:p>
          <w:p w14:paraId="70AC4496" w14:textId="77777777" w:rsidR="006427BA" w:rsidRPr="00FC6098" w:rsidRDefault="006427BA" w:rsidP="000567A5">
            <w:pPr>
              <w:pStyle w:val="ListParagraph"/>
              <w:widowControl/>
              <w:numPr>
                <w:ilvl w:val="0"/>
                <w:numId w:val="67"/>
              </w:numPr>
              <w:autoSpaceDE/>
              <w:autoSpaceDN/>
              <w:adjustRightInd/>
              <w:jc w:val="left"/>
              <w:cnfStyle w:val="000000010000" w:firstRow="0" w:lastRow="0" w:firstColumn="0" w:lastColumn="0" w:oddVBand="0" w:evenVBand="0" w:oddHBand="0" w:evenHBand="1" w:firstRowFirstColumn="0" w:firstRowLastColumn="0" w:lastRowFirstColumn="0" w:lastRowLastColumn="0"/>
              <w:rPr>
                <w:sz w:val="22"/>
                <w:szCs w:val="22"/>
              </w:rPr>
            </w:pPr>
            <w:r w:rsidRPr="00FC6098">
              <w:rPr>
                <w:sz w:val="22"/>
                <w:szCs w:val="22"/>
              </w:rPr>
              <w:t>Conduct station reviews</w:t>
            </w:r>
          </w:p>
          <w:p w14:paraId="1BD01F43" w14:textId="77777777" w:rsidR="006427BA" w:rsidRPr="00FC6098" w:rsidRDefault="006427BA" w:rsidP="000567A5">
            <w:pPr>
              <w:pStyle w:val="ListParagraph"/>
              <w:widowControl/>
              <w:numPr>
                <w:ilvl w:val="0"/>
                <w:numId w:val="67"/>
              </w:numPr>
              <w:autoSpaceDE/>
              <w:autoSpaceDN/>
              <w:adjustRightInd/>
              <w:jc w:val="left"/>
              <w:cnfStyle w:val="000000010000" w:firstRow="0" w:lastRow="0" w:firstColumn="0" w:lastColumn="0" w:oddVBand="0" w:evenVBand="0" w:oddHBand="0" w:evenHBand="1" w:firstRowFirstColumn="0" w:firstRowLastColumn="0" w:lastRowFirstColumn="0" w:lastRowLastColumn="0"/>
              <w:rPr>
                <w:sz w:val="22"/>
                <w:szCs w:val="22"/>
              </w:rPr>
            </w:pPr>
            <w:r w:rsidRPr="00FC6098">
              <w:rPr>
                <w:sz w:val="22"/>
                <w:szCs w:val="22"/>
              </w:rPr>
              <w:t>Assign station connections</w:t>
            </w:r>
          </w:p>
          <w:p w14:paraId="1A4C0F0E" w14:textId="77777777" w:rsidR="006427BA" w:rsidRPr="00FC6098" w:rsidRDefault="006427BA" w:rsidP="000567A5">
            <w:pPr>
              <w:pStyle w:val="ListParagraph"/>
              <w:widowControl/>
              <w:numPr>
                <w:ilvl w:val="0"/>
                <w:numId w:val="67"/>
              </w:numPr>
              <w:autoSpaceDE/>
              <w:autoSpaceDN/>
              <w:adjustRightInd/>
              <w:jc w:val="left"/>
              <w:cnfStyle w:val="000000010000" w:firstRow="0" w:lastRow="0" w:firstColumn="0" w:lastColumn="0" w:oddVBand="0" w:evenVBand="0" w:oddHBand="0" w:evenHBand="1" w:firstRowFirstColumn="0" w:firstRowLastColumn="0" w:lastRowFirstColumn="0" w:lastRowLastColumn="0"/>
              <w:rPr>
                <w:sz w:val="22"/>
                <w:szCs w:val="22"/>
              </w:rPr>
            </w:pPr>
            <w:r w:rsidRPr="00FC6098">
              <w:rPr>
                <w:sz w:val="22"/>
                <w:szCs w:val="22"/>
              </w:rPr>
              <w:t>Place station equipment</w:t>
            </w:r>
          </w:p>
          <w:p w14:paraId="72EA4B06" w14:textId="77777777" w:rsidR="006427BA" w:rsidRPr="00FC6098" w:rsidRDefault="006427BA" w:rsidP="000567A5">
            <w:pPr>
              <w:pStyle w:val="ListParagraph"/>
              <w:widowControl/>
              <w:numPr>
                <w:ilvl w:val="0"/>
                <w:numId w:val="67"/>
              </w:numPr>
              <w:autoSpaceDE/>
              <w:autoSpaceDN/>
              <w:adjustRightInd/>
              <w:jc w:val="left"/>
              <w:cnfStyle w:val="000000010000" w:firstRow="0" w:lastRow="0" w:firstColumn="0" w:lastColumn="0" w:oddVBand="0" w:evenVBand="0" w:oddHBand="0" w:evenHBand="1" w:firstRowFirstColumn="0" w:firstRowLastColumn="0" w:lastRowFirstColumn="0" w:lastRowLastColumn="0"/>
              <w:rPr>
                <w:sz w:val="22"/>
                <w:szCs w:val="22"/>
              </w:rPr>
            </w:pPr>
            <w:r w:rsidRPr="00FC6098">
              <w:rPr>
                <w:sz w:val="22"/>
                <w:szCs w:val="22"/>
              </w:rPr>
              <w:t>Install start-up software</w:t>
            </w:r>
          </w:p>
          <w:p w14:paraId="214D1533" w14:textId="77777777" w:rsidR="006427BA" w:rsidRPr="00FC6098" w:rsidRDefault="006427BA" w:rsidP="000567A5">
            <w:pPr>
              <w:pStyle w:val="ListParagraph"/>
              <w:widowControl/>
              <w:numPr>
                <w:ilvl w:val="0"/>
                <w:numId w:val="67"/>
              </w:numPr>
              <w:autoSpaceDE/>
              <w:autoSpaceDN/>
              <w:adjustRightInd/>
              <w:jc w:val="left"/>
              <w:cnfStyle w:val="000000010000" w:firstRow="0" w:lastRow="0" w:firstColumn="0" w:lastColumn="0" w:oddVBand="0" w:evenVBand="0" w:oddHBand="0" w:evenHBand="1" w:firstRowFirstColumn="0" w:firstRowLastColumn="0" w:lastRowFirstColumn="0" w:lastRowLastColumn="0"/>
              <w:rPr>
                <w:sz w:val="22"/>
                <w:szCs w:val="22"/>
              </w:rPr>
            </w:pPr>
            <w:r w:rsidRPr="00FC6098">
              <w:rPr>
                <w:sz w:val="22"/>
                <w:szCs w:val="22"/>
              </w:rPr>
              <w:t>Install equipment</w:t>
            </w:r>
          </w:p>
          <w:p w14:paraId="25330E49" w14:textId="77777777" w:rsidR="006427BA" w:rsidRPr="00FC6098" w:rsidRDefault="006427BA" w:rsidP="000567A5">
            <w:pPr>
              <w:pStyle w:val="ListParagraph"/>
              <w:widowControl/>
              <w:numPr>
                <w:ilvl w:val="0"/>
                <w:numId w:val="67"/>
              </w:numPr>
              <w:autoSpaceDE/>
              <w:autoSpaceDN/>
              <w:adjustRightInd/>
              <w:jc w:val="left"/>
              <w:cnfStyle w:val="000000010000" w:firstRow="0" w:lastRow="0" w:firstColumn="0" w:lastColumn="0" w:oddVBand="0" w:evenVBand="0" w:oddHBand="0" w:evenHBand="1" w:firstRowFirstColumn="0" w:firstRowLastColumn="0" w:lastRowFirstColumn="0" w:lastRowLastColumn="0"/>
              <w:rPr>
                <w:sz w:val="22"/>
                <w:szCs w:val="22"/>
              </w:rPr>
            </w:pPr>
            <w:r w:rsidRPr="00FC6098">
              <w:rPr>
                <w:sz w:val="22"/>
                <w:szCs w:val="22"/>
              </w:rPr>
              <w:t>Test equipment</w:t>
            </w:r>
          </w:p>
          <w:p w14:paraId="32B7C84F" w14:textId="77777777" w:rsidR="006427BA" w:rsidRPr="00FC6098" w:rsidRDefault="006427BA" w:rsidP="000567A5">
            <w:pPr>
              <w:pStyle w:val="ListParagraph"/>
              <w:widowControl/>
              <w:numPr>
                <w:ilvl w:val="0"/>
                <w:numId w:val="67"/>
              </w:numPr>
              <w:autoSpaceDE/>
              <w:autoSpaceDN/>
              <w:adjustRightInd/>
              <w:jc w:val="left"/>
              <w:cnfStyle w:val="000000010000" w:firstRow="0" w:lastRow="0" w:firstColumn="0" w:lastColumn="0" w:oddVBand="0" w:evenVBand="0" w:oddHBand="0" w:evenHBand="1" w:firstRowFirstColumn="0" w:firstRowLastColumn="0" w:lastRowFirstColumn="0" w:lastRowLastColumn="0"/>
              <w:rPr>
                <w:sz w:val="22"/>
                <w:szCs w:val="22"/>
              </w:rPr>
            </w:pPr>
            <w:r w:rsidRPr="00FC6098">
              <w:rPr>
                <w:sz w:val="22"/>
                <w:szCs w:val="22"/>
              </w:rPr>
              <w:t>Conduct initial circuit testing</w:t>
            </w:r>
          </w:p>
          <w:p w14:paraId="4F8C449B" w14:textId="77777777" w:rsidR="006427BA" w:rsidRPr="00FC6098" w:rsidRDefault="006427BA" w:rsidP="000567A5">
            <w:pPr>
              <w:pStyle w:val="ListParagraph"/>
              <w:widowControl/>
              <w:numPr>
                <w:ilvl w:val="0"/>
                <w:numId w:val="67"/>
              </w:numPr>
              <w:autoSpaceDE/>
              <w:autoSpaceDN/>
              <w:adjustRightInd/>
              <w:jc w:val="left"/>
              <w:cnfStyle w:val="000000010000" w:firstRow="0" w:lastRow="0" w:firstColumn="0" w:lastColumn="0" w:oddVBand="0" w:evenVBand="0" w:oddHBand="0" w:evenHBand="1" w:firstRowFirstColumn="0" w:firstRowLastColumn="0" w:lastRowFirstColumn="0" w:lastRowLastColumn="0"/>
              <w:rPr>
                <w:sz w:val="22"/>
                <w:szCs w:val="22"/>
              </w:rPr>
            </w:pPr>
            <w:r w:rsidRPr="00FC6098">
              <w:rPr>
                <w:sz w:val="22"/>
                <w:szCs w:val="22"/>
              </w:rPr>
              <w:t>Prepare station translations</w:t>
            </w:r>
          </w:p>
          <w:p w14:paraId="5330DA34" w14:textId="77777777" w:rsidR="006427BA" w:rsidRPr="00FC6098" w:rsidRDefault="006427BA" w:rsidP="000567A5">
            <w:pPr>
              <w:pStyle w:val="ListParagraph"/>
              <w:widowControl/>
              <w:numPr>
                <w:ilvl w:val="0"/>
                <w:numId w:val="67"/>
              </w:numPr>
              <w:autoSpaceDE/>
              <w:autoSpaceDN/>
              <w:adjustRightInd/>
              <w:jc w:val="left"/>
              <w:cnfStyle w:val="000000010000" w:firstRow="0" w:lastRow="0" w:firstColumn="0" w:lastColumn="0" w:oddVBand="0" w:evenVBand="0" w:oddHBand="0" w:evenHBand="1" w:firstRowFirstColumn="0" w:firstRowLastColumn="0" w:lastRowFirstColumn="0" w:lastRowLastColumn="0"/>
              <w:rPr>
                <w:sz w:val="22"/>
                <w:szCs w:val="22"/>
              </w:rPr>
            </w:pPr>
            <w:r w:rsidRPr="00FC6098">
              <w:rPr>
                <w:sz w:val="22"/>
                <w:szCs w:val="22"/>
              </w:rPr>
              <w:t>Prepare trunk translations</w:t>
            </w:r>
          </w:p>
          <w:p w14:paraId="142FEC50" w14:textId="77777777" w:rsidR="006427BA" w:rsidRPr="00FC6098" w:rsidRDefault="006427BA" w:rsidP="000567A5">
            <w:pPr>
              <w:pStyle w:val="ListParagraph"/>
              <w:widowControl/>
              <w:numPr>
                <w:ilvl w:val="0"/>
                <w:numId w:val="67"/>
              </w:numPr>
              <w:autoSpaceDE/>
              <w:autoSpaceDN/>
              <w:adjustRightInd/>
              <w:jc w:val="left"/>
              <w:cnfStyle w:val="000000010000" w:firstRow="0" w:lastRow="0" w:firstColumn="0" w:lastColumn="0" w:oddVBand="0" w:evenVBand="0" w:oddHBand="0" w:evenHBand="1" w:firstRowFirstColumn="0" w:firstRowLastColumn="0" w:lastRowFirstColumn="0" w:lastRowLastColumn="0"/>
              <w:rPr>
                <w:sz w:val="22"/>
                <w:szCs w:val="22"/>
              </w:rPr>
            </w:pPr>
            <w:r w:rsidRPr="00FC6098">
              <w:rPr>
                <w:sz w:val="22"/>
                <w:szCs w:val="22"/>
              </w:rPr>
              <w:t>Program Automatic Route Selection (ARS)</w:t>
            </w:r>
          </w:p>
          <w:p w14:paraId="0D89705D" w14:textId="77777777" w:rsidR="006427BA" w:rsidRPr="00FC6098" w:rsidRDefault="006427BA" w:rsidP="000567A5">
            <w:pPr>
              <w:pStyle w:val="ListParagraph"/>
              <w:widowControl/>
              <w:numPr>
                <w:ilvl w:val="0"/>
                <w:numId w:val="67"/>
              </w:numPr>
              <w:autoSpaceDE/>
              <w:autoSpaceDN/>
              <w:adjustRightInd/>
              <w:jc w:val="left"/>
              <w:cnfStyle w:val="000000010000" w:firstRow="0" w:lastRow="0" w:firstColumn="0" w:lastColumn="0" w:oddVBand="0" w:evenVBand="0" w:oddHBand="0" w:evenHBand="1" w:firstRowFirstColumn="0" w:firstRowLastColumn="0" w:lastRowFirstColumn="0" w:lastRowLastColumn="0"/>
              <w:rPr>
                <w:sz w:val="22"/>
                <w:szCs w:val="22"/>
              </w:rPr>
            </w:pPr>
            <w:r w:rsidRPr="00FC6098">
              <w:rPr>
                <w:sz w:val="22"/>
                <w:szCs w:val="22"/>
              </w:rPr>
              <w:t>Prepare toll-fraud barriers</w:t>
            </w:r>
          </w:p>
          <w:p w14:paraId="6CA85535" w14:textId="77777777" w:rsidR="006427BA" w:rsidRPr="00FC6098" w:rsidRDefault="006427BA" w:rsidP="000567A5">
            <w:pPr>
              <w:pStyle w:val="ListParagraph"/>
              <w:widowControl/>
              <w:numPr>
                <w:ilvl w:val="0"/>
                <w:numId w:val="67"/>
              </w:numPr>
              <w:autoSpaceDE/>
              <w:autoSpaceDN/>
              <w:adjustRightInd/>
              <w:jc w:val="left"/>
              <w:cnfStyle w:val="000000010000" w:firstRow="0" w:lastRow="0" w:firstColumn="0" w:lastColumn="0" w:oddVBand="0" w:evenVBand="0" w:oddHBand="0" w:evenHBand="1" w:firstRowFirstColumn="0" w:firstRowLastColumn="0" w:lastRowFirstColumn="0" w:lastRowLastColumn="0"/>
              <w:rPr>
                <w:sz w:val="22"/>
                <w:szCs w:val="22"/>
              </w:rPr>
            </w:pPr>
            <w:r w:rsidRPr="00FC6098">
              <w:rPr>
                <w:sz w:val="22"/>
                <w:szCs w:val="22"/>
              </w:rPr>
              <w:t>Set up voice mail boxes</w:t>
            </w:r>
          </w:p>
          <w:p w14:paraId="10D9BFA7" w14:textId="77777777" w:rsidR="006427BA" w:rsidRPr="00FC6098" w:rsidRDefault="006427BA" w:rsidP="000567A5">
            <w:pPr>
              <w:pStyle w:val="ListParagraph"/>
              <w:widowControl/>
              <w:numPr>
                <w:ilvl w:val="0"/>
                <w:numId w:val="67"/>
              </w:numPr>
              <w:autoSpaceDE/>
              <w:autoSpaceDN/>
              <w:adjustRightInd/>
              <w:jc w:val="left"/>
              <w:cnfStyle w:val="000000010000" w:firstRow="0" w:lastRow="0" w:firstColumn="0" w:lastColumn="0" w:oddVBand="0" w:evenVBand="0" w:oddHBand="0" w:evenHBand="1" w:firstRowFirstColumn="0" w:firstRowLastColumn="0" w:lastRowFirstColumn="0" w:lastRowLastColumn="0"/>
              <w:rPr>
                <w:sz w:val="22"/>
                <w:szCs w:val="22"/>
              </w:rPr>
            </w:pPr>
            <w:r w:rsidRPr="00FC6098">
              <w:rPr>
                <w:sz w:val="22"/>
                <w:szCs w:val="22"/>
              </w:rPr>
              <w:t>Initialize call accounting software</w:t>
            </w:r>
          </w:p>
          <w:p w14:paraId="0C9A24A4" w14:textId="77777777" w:rsidR="006427BA" w:rsidRPr="00FC6098" w:rsidRDefault="006427BA" w:rsidP="000567A5">
            <w:pPr>
              <w:pStyle w:val="ListParagraph"/>
              <w:widowControl/>
              <w:numPr>
                <w:ilvl w:val="0"/>
                <w:numId w:val="67"/>
              </w:numPr>
              <w:autoSpaceDE/>
              <w:autoSpaceDN/>
              <w:adjustRightInd/>
              <w:jc w:val="left"/>
              <w:cnfStyle w:val="000000010000" w:firstRow="0" w:lastRow="0" w:firstColumn="0" w:lastColumn="0" w:oddVBand="0" w:evenVBand="0" w:oddHBand="0" w:evenHBand="1" w:firstRowFirstColumn="0" w:firstRowLastColumn="0" w:lastRowFirstColumn="0" w:lastRowLastColumn="0"/>
              <w:rPr>
                <w:sz w:val="22"/>
                <w:szCs w:val="22"/>
              </w:rPr>
            </w:pPr>
            <w:r w:rsidRPr="00FC6098">
              <w:rPr>
                <w:sz w:val="22"/>
                <w:szCs w:val="22"/>
              </w:rPr>
              <w:t>Assure security controls are in place</w:t>
            </w:r>
          </w:p>
          <w:p w14:paraId="107C592F" w14:textId="77777777" w:rsidR="006427BA" w:rsidRPr="00FC6098" w:rsidRDefault="006427BA" w:rsidP="000567A5">
            <w:pPr>
              <w:pStyle w:val="ListParagraph"/>
              <w:widowControl/>
              <w:numPr>
                <w:ilvl w:val="0"/>
                <w:numId w:val="67"/>
              </w:numPr>
              <w:autoSpaceDE/>
              <w:autoSpaceDN/>
              <w:adjustRightInd/>
              <w:jc w:val="left"/>
              <w:cnfStyle w:val="000000010000" w:firstRow="0" w:lastRow="0" w:firstColumn="0" w:lastColumn="0" w:oddVBand="0" w:evenVBand="0" w:oddHBand="0" w:evenHBand="1" w:firstRowFirstColumn="0" w:firstRowLastColumn="0" w:lastRowFirstColumn="0" w:lastRowLastColumn="0"/>
              <w:rPr>
                <w:sz w:val="22"/>
                <w:szCs w:val="22"/>
              </w:rPr>
            </w:pPr>
            <w:r w:rsidRPr="00FC6098">
              <w:rPr>
                <w:sz w:val="22"/>
                <w:szCs w:val="22"/>
              </w:rPr>
              <w:t>Assure help desk readiness</w:t>
            </w:r>
          </w:p>
          <w:p w14:paraId="0D761CFF" w14:textId="77777777" w:rsidR="006427BA" w:rsidRPr="00FC6098" w:rsidRDefault="006427BA" w:rsidP="000567A5">
            <w:pPr>
              <w:pStyle w:val="ListParagraph"/>
              <w:widowControl/>
              <w:numPr>
                <w:ilvl w:val="0"/>
                <w:numId w:val="67"/>
              </w:numPr>
              <w:autoSpaceDE/>
              <w:autoSpaceDN/>
              <w:adjustRightInd/>
              <w:jc w:val="left"/>
              <w:cnfStyle w:val="000000010000" w:firstRow="0" w:lastRow="0" w:firstColumn="0" w:lastColumn="0" w:oddVBand="0" w:evenVBand="0" w:oddHBand="0" w:evenHBand="1" w:firstRowFirstColumn="0" w:firstRowLastColumn="0" w:lastRowFirstColumn="0" w:lastRowLastColumn="0"/>
              <w:rPr>
                <w:sz w:val="22"/>
                <w:szCs w:val="22"/>
              </w:rPr>
            </w:pPr>
            <w:r w:rsidRPr="00FC6098">
              <w:rPr>
                <w:sz w:val="22"/>
                <w:szCs w:val="22"/>
              </w:rPr>
              <w:t>Document trouble-reporting procedures</w:t>
            </w:r>
          </w:p>
        </w:tc>
      </w:tr>
      <w:tr w:rsidR="006427BA" w:rsidRPr="0023460F" w14:paraId="685F3C6C" w14:textId="77777777" w:rsidTr="00F16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Pr>
          <w:p w14:paraId="31D41DCE" w14:textId="77777777" w:rsidR="006427BA" w:rsidRPr="0023460F" w:rsidRDefault="006427BA" w:rsidP="00A35602">
            <w:pPr>
              <w:rPr>
                <w:sz w:val="22"/>
                <w:szCs w:val="22"/>
              </w:rPr>
            </w:pPr>
            <w:r w:rsidRPr="0023460F">
              <w:rPr>
                <w:sz w:val="22"/>
                <w:szCs w:val="22"/>
              </w:rPr>
              <w:t>Train Users</w:t>
            </w:r>
          </w:p>
        </w:tc>
        <w:tc>
          <w:tcPr>
            <w:tcW w:w="6030" w:type="dxa"/>
          </w:tcPr>
          <w:p w14:paraId="31883EE7" w14:textId="77777777" w:rsidR="006427BA" w:rsidRPr="00FC6098" w:rsidRDefault="006427BA" w:rsidP="000567A5">
            <w:pPr>
              <w:pStyle w:val="ListParagraph"/>
              <w:widowControl/>
              <w:numPr>
                <w:ilvl w:val="0"/>
                <w:numId w:val="67"/>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Develop user training plans</w:t>
            </w:r>
          </w:p>
          <w:p w14:paraId="52E2004E" w14:textId="77777777" w:rsidR="006427BA" w:rsidRPr="00FC6098" w:rsidRDefault="006427BA" w:rsidP="000567A5">
            <w:pPr>
              <w:pStyle w:val="ListParagraph"/>
              <w:widowControl/>
              <w:numPr>
                <w:ilvl w:val="0"/>
                <w:numId w:val="67"/>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Develop attendant training plans</w:t>
            </w:r>
          </w:p>
          <w:p w14:paraId="433288C0" w14:textId="77777777" w:rsidR="006427BA" w:rsidRPr="00FC6098" w:rsidRDefault="006427BA" w:rsidP="000567A5">
            <w:pPr>
              <w:pStyle w:val="ListParagraph"/>
              <w:widowControl/>
              <w:numPr>
                <w:ilvl w:val="0"/>
                <w:numId w:val="67"/>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Prepare training room</w:t>
            </w:r>
          </w:p>
          <w:p w14:paraId="04B5147B" w14:textId="77777777" w:rsidR="006427BA" w:rsidRPr="00FC6098" w:rsidRDefault="006427BA" w:rsidP="000567A5">
            <w:pPr>
              <w:pStyle w:val="ListParagraph"/>
              <w:widowControl/>
              <w:numPr>
                <w:ilvl w:val="0"/>
                <w:numId w:val="67"/>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Prepare training schedule</w:t>
            </w:r>
          </w:p>
          <w:p w14:paraId="31DF6749" w14:textId="77777777" w:rsidR="006427BA" w:rsidRPr="00FC6098" w:rsidRDefault="006427BA" w:rsidP="000567A5">
            <w:pPr>
              <w:pStyle w:val="ListParagraph"/>
              <w:widowControl/>
              <w:numPr>
                <w:ilvl w:val="0"/>
                <w:numId w:val="67"/>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Train users</w:t>
            </w:r>
          </w:p>
          <w:p w14:paraId="628A22A0" w14:textId="77777777" w:rsidR="006427BA" w:rsidRPr="00FC6098" w:rsidRDefault="006427BA" w:rsidP="000567A5">
            <w:pPr>
              <w:pStyle w:val="ListParagraph"/>
              <w:widowControl/>
              <w:numPr>
                <w:ilvl w:val="0"/>
                <w:numId w:val="67"/>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Provide all new circuit and equipment information to the affected Network Management Organization</w:t>
            </w:r>
          </w:p>
        </w:tc>
      </w:tr>
      <w:tr w:rsidR="006427BA" w:rsidRPr="0023460F" w14:paraId="6A3FA0E7" w14:textId="77777777" w:rsidTr="00F162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Pr>
          <w:p w14:paraId="289DF572" w14:textId="77777777" w:rsidR="006427BA" w:rsidRPr="0023460F" w:rsidRDefault="006427BA" w:rsidP="00A35602">
            <w:pPr>
              <w:rPr>
                <w:sz w:val="22"/>
                <w:szCs w:val="22"/>
              </w:rPr>
            </w:pPr>
            <w:r w:rsidRPr="0023460F">
              <w:rPr>
                <w:sz w:val="22"/>
                <w:szCs w:val="22"/>
              </w:rPr>
              <w:t>Cutover System</w:t>
            </w:r>
          </w:p>
        </w:tc>
        <w:tc>
          <w:tcPr>
            <w:tcW w:w="6030" w:type="dxa"/>
          </w:tcPr>
          <w:p w14:paraId="4EDDD3B4" w14:textId="77777777" w:rsidR="006427BA" w:rsidRPr="00FC6098" w:rsidRDefault="006427BA" w:rsidP="000567A5">
            <w:pPr>
              <w:pStyle w:val="ListParagraph"/>
              <w:widowControl/>
              <w:numPr>
                <w:ilvl w:val="0"/>
                <w:numId w:val="68"/>
              </w:numPr>
              <w:autoSpaceDE/>
              <w:autoSpaceDN/>
              <w:adjustRightInd/>
              <w:jc w:val="left"/>
              <w:cnfStyle w:val="000000010000" w:firstRow="0" w:lastRow="0" w:firstColumn="0" w:lastColumn="0" w:oddVBand="0" w:evenVBand="0" w:oddHBand="0" w:evenHBand="1" w:firstRowFirstColumn="0" w:firstRowLastColumn="0" w:lastRowFirstColumn="0" w:lastRowLastColumn="0"/>
              <w:rPr>
                <w:sz w:val="22"/>
                <w:szCs w:val="22"/>
              </w:rPr>
            </w:pPr>
            <w:r w:rsidRPr="00FC6098">
              <w:rPr>
                <w:sz w:val="22"/>
                <w:szCs w:val="22"/>
              </w:rPr>
              <w:t>Perform pre-cutover tests</w:t>
            </w:r>
          </w:p>
          <w:p w14:paraId="2F0F908F" w14:textId="77777777" w:rsidR="006427BA" w:rsidRPr="00FC6098" w:rsidRDefault="006427BA" w:rsidP="000567A5">
            <w:pPr>
              <w:pStyle w:val="ListParagraph"/>
              <w:widowControl/>
              <w:numPr>
                <w:ilvl w:val="0"/>
                <w:numId w:val="68"/>
              </w:numPr>
              <w:autoSpaceDE/>
              <w:autoSpaceDN/>
              <w:adjustRightInd/>
              <w:jc w:val="left"/>
              <w:cnfStyle w:val="000000010000" w:firstRow="0" w:lastRow="0" w:firstColumn="0" w:lastColumn="0" w:oddVBand="0" w:evenVBand="0" w:oddHBand="0" w:evenHBand="1" w:firstRowFirstColumn="0" w:firstRowLastColumn="0" w:lastRowFirstColumn="0" w:lastRowLastColumn="0"/>
              <w:rPr>
                <w:sz w:val="22"/>
                <w:szCs w:val="22"/>
              </w:rPr>
            </w:pPr>
            <w:r w:rsidRPr="00FC6098">
              <w:rPr>
                <w:sz w:val="22"/>
                <w:szCs w:val="22"/>
              </w:rPr>
              <w:t>Perform pre-cutover network facility tests</w:t>
            </w:r>
          </w:p>
          <w:p w14:paraId="03299492" w14:textId="2340ED3A" w:rsidR="006427BA" w:rsidRPr="00FC6098" w:rsidRDefault="006427BA" w:rsidP="000567A5">
            <w:pPr>
              <w:pStyle w:val="ListParagraph"/>
              <w:widowControl/>
              <w:numPr>
                <w:ilvl w:val="0"/>
                <w:numId w:val="68"/>
              </w:numPr>
              <w:autoSpaceDE/>
              <w:autoSpaceDN/>
              <w:adjustRightInd/>
              <w:jc w:val="left"/>
              <w:cnfStyle w:val="000000010000" w:firstRow="0" w:lastRow="0" w:firstColumn="0" w:lastColumn="0" w:oddVBand="0" w:evenVBand="0" w:oddHBand="0" w:evenHBand="1" w:firstRowFirstColumn="0" w:firstRowLastColumn="0" w:lastRowFirstColumn="0" w:lastRowLastColumn="0"/>
              <w:rPr>
                <w:sz w:val="22"/>
                <w:szCs w:val="22"/>
              </w:rPr>
            </w:pPr>
            <w:r w:rsidRPr="00FC6098">
              <w:rPr>
                <w:sz w:val="22"/>
                <w:szCs w:val="22"/>
              </w:rPr>
              <w:t>Advise agency/customers of</w:t>
            </w:r>
            <w:r w:rsidR="004912AA" w:rsidRPr="00FC6098">
              <w:rPr>
                <w:sz w:val="22"/>
                <w:szCs w:val="22"/>
              </w:rPr>
              <w:t xml:space="preserve"> time/date and set expectations</w:t>
            </w:r>
          </w:p>
          <w:p w14:paraId="6D35579D" w14:textId="77777777" w:rsidR="006427BA" w:rsidRPr="00FC6098" w:rsidRDefault="006427BA" w:rsidP="000567A5">
            <w:pPr>
              <w:pStyle w:val="ListParagraph"/>
              <w:widowControl/>
              <w:numPr>
                <w:ilvl w:val="0"/>
                <w:numId w:val="68"/>
              </w:numPr>
              <w:autoSpaceDE/>
              <w:autoSpaceDN/>
              <w:adjustRightInd/>
              <w:jc w:val="left"/>
              <w:cnfStyle w:val="000000010000" w:firstRow="0" w:lastRow="0" w:firstColumn="0" w:lastColumn="0" w:oddVBand="0" w:evenVBand="0" w:oddHBand="0" w:evenHBand="1" w:firstRowFirstColumn="0" w:firstRowLastColumn="0" w:lastRowFirstColumn="0" w:lastRowLastColumn="0"/>
              <w:rPr>
                <w:sz w:val="22"/>
                <w:szCs w:val="22"/>
              </w:rPr>
            </w:pPr>
            <w:r w:rsidRPr="00FC6098">
              <w:rPr>
                <w:sz w:val="22"/>
                <w:szCs w:val="22"/>
              </w:rPr>
              <w:t>Cutover system</w:t>
            </w:r>
          </w:p>
          <w:p w14:paraId="326F132E" w14:textId="77777777" w:rsidR="006427BA" w:rsidRPr="00FC6098" w:rsidRDefault="006427BA" w:rsidP="000567A5">
            <w:pPr>
              <w:pStyle w:val="ListParagraph"/>
              <w:widowControl/>
              <w:numPr>
                <w:ilvl w:val="0"/>
                <w:numId w:val="68"/>
              </w:numPr>
              <w:autoSpaceDE/>
              <w:autoSpaceDN/>
              <w:adjustRightInd/>
              <w:jc w:val="left"/>
              <w:cnfStyle w:val="000000010000" w:firstRow="0" w:lastRow="0" w:firstColumn="0" w:lastColumn="0" w:oddVBand="0" w:evenVBand="0" w:oddHBand="0" w:evenHBand="1" w:firstRowFirstColumn="0" w:firstRowLastColumn="0" w:lastRowFirstColumn="0" w:lastRowLastColumn="0"/>
              <w:rPr>
                <w:sz w:val="22"/>
                <w:szCs w:val="22"/>
              </w:rPr>
            </w:pPr>
            <w:r w:rsidRPr="00FC6098">
              <w:rPr>
                <w:sz w:val="22"/>
                <w:szCs w:val="22"/>
              </w:rPr>
              <w:t>Test critical facilities/stations</w:t>
            </w:r>
          </w:p>
        </w:tc>
      </w:tr>
      <w:tr w:rsidR="006427BA" w:rsidRPr="0023460F" w14:paraId="3FAF9530" w14:textId="77777777" w:rsidTr="00F16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Pr>
          <w:p w14:paraId="260CABEA" w14:textId="77777777" w:rsidR="006427BA" w:rsidRPr="0023460F" w:rsidRDefault="006427BA" w:rsidP="00A35602">
            <w:pPr>
              <w:rPr>
                <w:sz w:val="22"/>
                <w:szCs w:val="22"/>
              </w:rPr>
            </w:pPr>
            <w:r w:rsidRPr="0023460F">
              <w:rPr>
                <w:sz w:val="22"/>
                <w:szCs w:val="22"/>
              </w:rPr>
              <w:t>Accept System</w:t>
            </w:r>
          </w:p>
        </w:tc>
        <w:tc>
          <w:tcPr>
            <w:tcW w:w="6030" w:type="dxa"/>
          </w:tcPr>
          <w:p w14:paraId="4F2BFC5C" w14:textId="77777777" w:rsidR="006427BA" w:rsidRPr="00FC6098" w:rsidRDefault="006427BA" w:rsidP="000567A5">
            <w:pPr>
              <w:pStyle w:val="ListParagraph"/>
              <w:widowControl/>
              <w:numPr>
                <w:ilvl w:val="0"/>
                <w:numId w:val="67"/>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Perform post-cutover/acceptance tests</w:t>
            </w:r>
          </w:p>
          <w:p w14:paraId="657D32C8" w14:textId="141C6F26" w:rsidR="006427BA" w:rsidRPr="00FC6098" w:rsidRDefault="006427BA" w:rsidP="000567A5">
            <w:pPr>
              <w:pStyle w:val="ListParagraph"/>
              <w:widowControl/>
              <w:numPr>
                <w:ilvl w:val="1"/>
                <w:numId w:val="69"/>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Testing should be based on a manual of performance tests that the system must meet bef</w:t>
            </w:r>
            <w:r w:rsidR="004912AA" w:rsidRPr="00FC6098">
              <w:rPr>
                <w:sz w:val="22"/>
                <w:szCs w:val="22"/>
              </w:rPr>
              <w:t>ore it is turned up for service</w:t>
            </w:r>
          </w:p>
          <w:p w14:paraId="41ED9057" w14:textId="473CC898" w:rsidR="006427BA" w:rsidRPr="00FC6098" w:rsidRDefault="006427BA" w:rsidP="000567A5">
            <w:pPr>
              <w:pStyle w:val="ListParagraph"/>
              <w:widowControl/>
              <w:numPr>
                <w:ilvl w:val="0"/>
                <w:numId w:val="67"/>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Prepare records</w:t>
            </w:r>
            <w:r w:rsidR="0023460F" w:rsidRPr="0023460F">
              <w:rPr>
                <w:sz w:val="22"/>
                <w:szCs w:val="22"/>
              </w:rPr>
              <w:t xml:space="preserve">; </w:t>
            </w:r>
            <w:r w:rsidR="0023460F">
              <w:rPr>
                <w:sz w:val="22"/>
                <w:szCs w:val="22"/>
              </w:rPr>
              <w:t>t</w:t>
            </w:r>
            <w:r w:rsidRPr="00FC6098">
              <w:rPr>
                <w:sz w:val="22"/>
                <w:szCs w:val="22"/>
              </w:rPr>
              <w:t>he telecom manager must compile, review and file all documentation. The documentation should include the following:</w:t>
            </w:r>
          </w:p>
          <w:p w14:paraId="51C73970" w14:textId="77777777" w:rsidR="006427BA" w:rsidRPr="00FC6098" w:rsidRDefault="006427BA" w:rsidP="000567A5">
            <w:pPr>
              <w:pStyle w:val="ListParagraph"/>
              <w:widowControl/>
              <w:numPr>
                <w:ilvl w:val="1"/>
                <w:numId w:val="69"/>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lastRenderedPageBreak/>
              <w:t>System operation and maintenance manuals</w:t>
            </w:r>
          </w:p>
          <w:p w14:paraId="62F363BD" w14:textId="77777777" w:rsidR="006427BA" w:rsidRPr="00FC6098" w:rsidRDefault="006427BA" w:rsidP="000567A5">
            <w:pPr>
              <w:pStyle w:val="ListParagraph"/>
              <w:widowControl/>
              <w:numPr>
                <w:ilvl w:val="1"/>
                <w:numId w:val="69"/>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Station wiring diagrams</w:t>
            </w:r>
          </w:p>
          <w:p w14:paraId="2E4632A3" w14:textId="77777777" w:rsidR="006427BA" w:rsidRPr="00FC6098" w:rsidRDefault="006427BA" w:rsidP="000567A5">
            <w:pPr>
              <w:pStyle w:val="ListParagraph"/>
              <w:widowControl/>
              <w:numPr>
                <w:ilvl w:val="1"/>
                <w:numId w:val="69"/>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Trunk and station cross-connect lists, including cable and pair assignments</w:t>
            </w:r>
          </w:p>
          <w:p w14:paraId="56115D0C" w14:textId="77777777" w:rsidR="006427BA" w:rsidRPr="00FC6098" w:rsidRDefault="006427BA" w:rsidP="000567A5">
            <w:pPr>
              <w:pStyle w:val="ListParagraph"/>
              <w:widowControl/>
              <w:numPr>
                <w:ilvl w:val="1"/>
                <w:numId w:val="69"/>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Class-of-restriction and class-of-service assignments</w:t>
            </w:r>
          </w:p>
          <w:p w14:paraId="732B7A49" w14:textId="77777777" w:rsidR="006427BA" w:rsidRPr="00FC6098" w:rsidRDefault="006427BA" w:rsidP="000567A5">
            <w:pPr>
              <w:pStyle w:val="ListParagraph"/>
              <w:widowControl/>
              <w:numPr>
                <w:ilvl w:val="1"/>
                <w:numId w:val="69"/>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Feature assignment lists</w:t>
            </w:r>
          </w:p>
          <w:p w14:paraId="65FF360F" w14:textId="77777777" w:rsidR="006427BA" w:rsidRPr="00FC6098" w:rsidRDefault="006427BA" w:rsidP="000567A5">
            <w:pPr>
              <w:pStyle w:val="ListParagraph"/>
              <w:widowControl/>
              <w:numPr>
                <w:ilvl w:val="1"/>
                <w:numId w:val="69"/>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Port assignment lists</w:t>
            </w:r>
          </w:p>
          <w:p w14:paraId="0AC9BAE3" w14:textId="77777777" w:rsidR="006427BA" w:rsidRPr="00FC6098" w:rsidRDefault="006427BA" w:rsidP="000567A5">
            <w:pPr>
              <w:pStyle w:val="ListParagraph"/>
              <w:widowControl/>
              <w:numPr>
                <w:ilvl w:val="1"/>
                <w:numId w:val="69"/>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Hunt and pickup group assignments</w:t>
            </w:r>
          </w:p>
          <w:p w14:paraId="78135D58" w14:textId="77777777" w:rsidR="006427BA" w:rsidRPr="00FC6098" w:rsidRDefault="006427BA" w:rsidP="000567A5">
            <w:pPr>
              <w:pStyle w:val="ListParagraph"/>
              <w:widowControl/>
              <w:numPr>
                <w:ilvl w:val="1"/>
                <w:numId w:val="69"/>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User assignment information</w:t>
            </w:r>
          </w:p>
          <w:p w14:paraId="19F0F2BB" w14:textId="77777777" w:rsidR="006427BA" w:rsidRPr="00FC6098" w:rsidRDefault="006427BA" w:rsidP="000567A5">
            <w:pPr>
              <w:pStyle w:val="ListParagraph"/>
              <w:widowControl/>
              <w:numPr>
                <w:ilvl w:val="1"/>
                <w:numId w:val="69"/>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Extension number</w:t>
            </w:r>
          </w:p>
          <w:p w14:paraId="4B9CA9DA" w14:textId="77777777" w:rsidR="006427BA" w:rsidRPr="00FC6098" w:rsidRDefault="006427BA" w:rsidP="000567A5">
            <w:pPr>
              <w:pStyle w:val="ListParagraph"/>
              <w:widowControl/>
              <w:numPr>
                <w:ilvl w:val="1"/>
                <w:numId w:val="69"/>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Room number</w:t>
            </w:r>
          </w:p>
          <w:p w14:paraId="542CF9B2" w14:textId="77777777" w:rsidR="006427BA" w:rsidRPr="00FC6098" w:rsidRDefault="006427BA" w:rsidP="000567A5">
            <w:pPr>
              <w:pStyle w:val="ListParagraph"/>
              <w:widowControl/>
              <w:numPr>
                <w:ilvl w:val="1"/>
                <w:numId w:val="69"/>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Answering location</w:t>
            </w:r>
          </w:p>
          <w:p w14:paraId="5C73F1E9" w14:textId="77777777" w:rsidR="006427BA" w:rsidRPr="00FC6098" w:rsidRDefault="006427BA" w:rsidP="000567A5">
            <w:pPr>
              <w:pStyle w:val="ListParagraph"/>
              <w:widowControl/>
              <w:numPr>
                <w:ilvl w:val="1"/>
                <w:numId w:val="69"/>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Features</w:t>
            </w:r>
          </w:p>
          <w:p w14:paraId="67146616" w14:textId="77777777" w:rsidR="006427BA" w:rsidRPr="00FC6098" w:rsidRDefault="006427BA" w:rsidP="000567A5">
            <w:pPr>
              <w:pStyle w:val="ListParagraph"/>
              <w:widowControl/>
              <w:numPr>
                <w:ilvl w:val="1"/>
                <w:numId w:val="69"/>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Restrictions</w:t>
            </w:r>
          </w:p>
          <w:p w14:paraId="149D5028" w14:textId="77777777" w:rsidR="006427BA" w:rsidRPr="00FC6098" w:rsidRDefault="006427BA" w:rsidP="000567A5">
            <w:pPr>
              <w:pStyle w:val="ListParagraph"/>
              <w:widowControl/>
              <w:numPr>
                <w:ilvl w:val="0"/>
                <w:numId w:val="67"/>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Provide appropriate “as-built” documentation to the affected Network Management Organization</w:t>
            </w:r>
          </w:p>
          <w:p w14:paraId="7218D32A" w14:textId="77777777" w:rsidR="006427BA" w:rsidRPr="00FC6098" w:rsidRDefault="006427BA" w:rsidP="000567A5">
            <w:pPr>
              <w:pStyle w:val="ListParagraph"/>
              <w:widowControl/>
              <w:numPr>
                <w:ilvl w:val="0"/>
                <w:numId w:val="67"/>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Conduct follow-up training</w:t>
            </w:r>
          </w:p>
          <w:p w14:paraId="3D69DAC9" w14:textId="77777777" w:rsidR="006427BA" w:rsidRPr="00FC6098" w:rsidRDefault="006427BA" w:rsidP="000567A5">
            <w:pPr>
              <w:pStyle w:val="ListParagraph"/>
              <w:widowControl/>
              <w:numPr>
                <w:ilvl w:val="0"/>
                <w:numId w:val="67"/>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Review trunk and circuit usage data</w:t>
            </w:r>
          </w:p>
          <w:p w14:paraId="20FB137C" w14:textId="77777777" w:rsidR="006427BA" w:rsidRPr="00FC6098" w:rsidRDefault="006427BA" w:rsidP="000567A5">
            <w:pPr>
              <w:pStyle w:val="ListParagraph"/>
              <w:widowControl/>
              <w:numPr>
                <w:ilvl w:val="0"/>
                <w:numId w:val="67"/>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Verify billing from all contractors</w:t>
            </w:r>
          </w:p>
          <w:p w14:paraId="5B2733F1" w14:textId="77777777" w:rsidR="006427BA" w:rsidRPr="00FC6098" w:rsidRDefault="006427BA" w:rsidP="000567A5">
            <w:pPr>
              <w:pStyle w:val="ListParagraph"/>
              <w:widowControl/>
              <w:numPr>
                <w:ilvl w:val="1"/>
                <w:numId w:val="69"/>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All components of disconnected service are no longer billing (features, equipment)</w:t>
            </w:r>
          </w:p>
          <w:p w14:paraId="0A0091BA" w14:textId="77777777" w:rsidR="006427BA" w:rsidRPr="00FC6098" w:rsidRDefault="006427BA" w:rsidP="000567A5">
            <w:pPr>
              <w:pStyle w:val="ListParagraph"/>
              <w:widowControl/>
              <w:numPr>
                <w:ilvl w:val="1"/>
                <w:numId w:val="69"/>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Service billing aligns with task order pricing and is correct for the service location</w:t>
            </w:r>
          </w:p>
          <w:p w14:paraId="52E332A2" w14:textId="77777777" w:rsidR="006427BA" w:rsidRPr="00FC6098" w:rsidRDefault="006427BA" w:rsidP="000567A5">
            <w:pPr>
              <w:pStyle w:val="ListParagraph"/>
              <w:widowControl/>
              <w:numPr>
                <w:ilvl w:val="0"/>
                <w:numId w:val="67"/>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Inventory equipment</w:t>
            </w:r>
          </w:p>
          <w:p w14:paraId="711A552E" w14:textId="77777777" w:rsidR="006427BA" w:rsidRPr="00FC6098" w:rsidRDefault="006427BA" w:rsidP="000567A5">
            <w:pPr>
              <w:pStyle w:val="ListParagraph"/>
              <w:widowControl/>
              <w:numPr>
                <w:ilvl w:val="0"/>
                <w:numId w:val="67"/>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Remove old equipment and wiring</w:t>
            </w:r>
          </w:p>
          <w:p w14:paraId="1A42A7DF" w14:textId="77777777" w:rsidR="006427BA" w:rsidRPr="00FC6098" w:rsidRDefault="006427BA" w:rsidP="000567A5">
            <w:pPr>
              <w:pStyle w:val="ListParagraph"/>
              <w:widowControl/>
              <w:numPr>
                <w:ilvl w:val="0"/>
                <w:numId w:val="67"/>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Clean up work areas</w:t>
            </w:r>
          </w:p>
          <w:p w14:paraId="0A2EC7B1" w14:textId="77777777" w:rsidR="006427BA" w:rsidRPr="00FC6098" w:rsidRDefault="006427BA" w:rsidP="000567A5">
            <w:pPr>
              <w:pStyle w:val="ListParagraph"/>
              <w:widowControl/>
              <w:numPr>
                <w:ilvl w:val="0"/>
                <w:numId w:val="67"/>
              </w:numPr>
              <w:autoSpaceDE/>
              <w:autoSpaceDN/>
              <w:adjustRightInd/>
              <w:jc w:val="left"/>
              <w:cnfStyle w:val="000000100000" w:firstRow="0" w:lastRow="0" w:firstColumn="0" w:lastColumn="0" w:oddVBand="0" w:evenVBand="0" w:oddHBand="1" w:evenHBand="0" w:firstRowFirstColumn="0" w:firstRowLastColumn="0" w:lastRowFirstColumn="0" w:lastRowLastColumn="0"/>
              <w:rPr>
                <w:sz w:val="22"/>
                <w:szCs w:val="22"/>
              </w:rPr>
            </w:pPr>
            <w:r w:rsidRPr="00FC6098">
              <w:rPr>
                <w:sz w:val="22"/>
                <w:szCs w:val="22"/>
              </w:rPr>
              <w:t>Accept the system</w:t>
            </w:r>
          </w:p>
        </w:tc>
      </w:tr>
      <w:tr w:rsidR="006427BA" w:rsidRPr="0023460F" w14:paraId="0D0403FA" w14:textId="77777777" w:rsidTr="00F162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Pr>
          <w:p w14:paraId="4DFB1BA4" w14:textId="77777777" w:rsidR="006427BA" w:rsidRPr="0023460F" w:rsidRDefault="006427BA" w:rsidP="00A35602">
            <w:pPr>
              <w:rPr>
                <w:sz w:val="22"/>
                <w:szCs w:val="22"/>
              </w:rPr>
            </w:pPr>
            <w:r w:rsidRPr="0023460F">
              <w:rPr>
                <w:sz w:val="22"/>
                <w:szCs w:val="22"/>
              </w:rPr>
              <w:lastRenderedPageBreak/>
              <w:t>Measure Results</w:t>
            </w:r>
          </w:p>
        </w:tc>
        <w:tc>
          <w:tcPr>
            <w:tcW w:w="6030" w:type="dxa"/>
          </w:tcPr>
          <w:p w14:paraId="35604E2D" w14:textId="77777777" w:rsidR="006427BA" w:rsidRPr="00FC6098" w:rsidRDefault="006427BA" w:rsidP="000567A5">
            <w:pPr>
              <w:pStyle w:val="ListParagraph"/>
              <w:widowControl/>
              <w:numPr>
                <w:ilvl w:val="0"/>
                <w:numId w:val="70"/>
              </w:numPr>
              <w:autoSpaceDE/>
              <w:autoSpaceDN/>
              <w:adjustRightInd/>
              <w:jc w:val="left"/>
              <w:cnfStyle w:val="000000010000" w:firstRow="0" w:lastRow="0" w:firstColumn="0" w:lastColumn="0" w:oddVBand="0" w:evenVBand="0" w:oddHBand="0" w:evenHBand="1" w:firstRowFirstColumn="0" w:firstRowLastColumn="0" w:lastRowFirstColumn="0" w:lastRowLastColumn="0"/>
              <w:rPr>
                <w:sz w:val="22"/>
                <w:szCs w:val="22"/>
              </w:rPr>
            </w:pPr>
            <w:r w:rsidRPr="00FC6098">
              <w:rPr>
                <w:sz w:val="22"/>
                <w:szCs w:val="22"/>
              </w:rPr>
              <w:t>Record and assess results against measures of success</w:t>
            </w:r>
          </w:p>
          <w:p w14:paraId="4AA3E7E4" w14:textId="1843EB7B" w:rsidR="006427BA" w:rsidRPr="00FC6098" w:rsidRDefault="006427BA" w:rsidP="000567A5">
            <w:pPr>
              <w:pStyle w:val="ListParagraph"/>
              <w:widowControl/>
              <w:numPr>
                <w:ilvl w:val="1"/>
                <w:numId w:val="69"/>
              </w:numPr>
              <w:autoSpaceDE/>
              <w:autoSpaceDN/>
              <w:adjustRightInd/>
              <w:jc w:val="left"/>
              <w:cnfStyle w:val="000000010000" w:firstRow="0" w:lastRow="0" w:firstColumn="0" w:lastColumn="0" w:oddVBand="0" w:evenVBand="0" w:oddHBand="0" w:evenHBand="1" w:firstRowFirstColumn="0" w:firstRowLastColumn="0" w:lastRowFirstColumn="0" w:lastRowLastColumn="0"/>
              <w:rPr>
                <w:sz w:val="22"/>
                <w:szCs w:val="22"/>
              </w:rPr>
            </w:pPr>
            <w:r w:rsidRPr="00FC6098">
              <w:rPr>
                <w:sz w:val="22"/>
                <w:szCs w:val="22"/>
              </w:rPr>
              <w:t xml:space="preserve">It is important to remember that the success or failure of the cutover will be measured by the amount of disruption experienced </w:t>
            </w:r>
            <w:r w:rsidR="009D0A97">
              <w:rPr>
                <w:sz w:val="22"/>
                <w:szCs w:val="22"/>
              </w:rPr>
              <w:t>during</w:t>
            </w:r>
            <w:r w:rsidR="009D0A97" w:rsidRPr="00FC6098">
              <w:rPr>
                <w:sz w:val="22"/>
                <w:szCs w:val="22"/>
              </w:rPr>
              <w:t xml:space="preserve"> </w:t>
            </w:r>
            <w:r w:rsidRPr="00FC6098">
              <w:rPr>
                <w:sz w:val="22"/>
                <w:szCs w:val="22"/>
              </w:rPr>
              <w:t>the first few</w:t>
            </w:r>
            <w:r w:rsidR="004912AA" w:rsidRPr="00FC6098">
              <w:rPr>
                <w:sz w:val="22"/>
                <w:szCs w:val="22"/>
              </w:rPr>
              <w:t xml:space="preserve"> days </w:t>
            </w:r>
            <w:r w:rsidR="009D0A97">
              <w:rPr>
                <w:sz w:val="22"/>
                <w:szCs w:val="22"/>
              </w:rPr>
              <w:t xml:space="preserve">after </w:t>
            </w:r>
            <w:r w:rsidR="004912AA" w:rsidRPr="00FC6098">
              <w:rPr>
                <w:sz w:val="22"/>
                <w:szCs w:val="22"/>
              </w:rPr>
              <w:t>the cutover</w:t>
            </w:r>
          </w:p>
        </w:tc>
      </w:tr>
    </w:tbl>
    <w:p w14:paraId="2E1EE8DB" w14:textId="77777777" w:rsidR="009C2E60" w:rsidRPr="00FF3985" w:rsidRDefault="009C2E60" w:rsidP="009C2E60">
      <w:pPr>
        <w:rPr>
          <w:sz w:val="22"/>
          <w:szCs w:val="22"/>
        </w:rPr>
      </w:pPr>
    </w:p>
    <w:p w14:paraId="72D7D786" w14:textId="77777777" w:rsidR="009C2E60" w:rsidRPr="00FF3985" w:rsidRDefault="009C2E60" w:rsidP="009C2E60">
      <w:pPr>
        <w:rPr>
          <w:sz w:val="22"/>
          <w:szCs w:val="22"/>
        </w:rPr>
      </w:pPr>
    </w:p>
    <w:p w14:paraId="5D7411D6" w14:textId="77777777" w:rsidR="009C2E60" w:rsidRPr="00E436C5" w:rsidRDefault="009C2E60" w:rsidP="00E436C5">
      <w:pPr>
        <w:rPr>
          <w:sz w:val="22"/>
        </w:rPr>
      </w:pPr>
    </w:p>
    <w:sectPr w:rsidR="009C2E60" w:rsidRPr="00E436C5" w:rsidSect="000B708C">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D11CA" w14:textId="77777777" w:rsidR="00721599" w:rsidRDefault="00721599" w:rsidP="002466A5"/>
    <w:p w14:paraId="2C103ED0" w14:textId="77777777" w:rsidR="00721599" w:rsidRDefault="00721599" w:rsidP="002466A5"/>
  </w:endnote>
  <w:endnote w:type="continuationSeparator" w:id="0">
    <w:p w14:paraId="57317033" w14:textId="77777777" w:rsidR="00721599" w:rsidRDefault="00721599" w:rsidP="002466A5"/>
    <w:p w14:paraId="1EAA2C6C" w14:textId="77777777" w:rsidR="00721599" w:rsidRDefault="00721599" w:rsidP="002466A5"/>
  </w:endnote>
  <w:endnote w:type="continuationNotice" w:id="1">
    <w:p w14:paraId="48A99985" w14:textId="77777777" w:rsidR="00721599" w:rsidRPr="009E7A34" w:rsidRDefault="00721599" w:rsidP="002466A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Bold">
    <w:panose1 w:val="020B0704020202020204"/>
    <w:charset w:val="00"/>
    <w:family w:val="auto"/>
    <w:pitch w:val="variable"/>
    <w:sig w:usb0="E0002A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TRE">
    <w:altName w:val="Times New Roman"/>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A50F0" w14:textId="77777777" w:rsidR="00E436C5" w:rsidRPr="00253CEF" w:rsidRDefault="00E436C5" w:rsidP="002466A5">
    <w:pPr>
      <w:pStyle w:val="Footer"/>
    </w:pPr>
    <w:r>
      <w:t xml:space="preserve">DTID # </w:t>
    </w:r>
    <w:r w:rsidRPr="00E26FD4">
      <w:t>TCC-ASC-GSAM-01-20160415-01</w:t>
    </w:r>
    <w:r>
      <w:tab/>
    </w:r>
    <w:r>
      <w:tab/>
      <w:t>April 21, 2016</w:t>
    </w:r>
    <w:r>
      <w:tab/>
    </w:r>
    <w:r>
      <w:tab/>
    </w:r>
    <w:r>
      <w:tab/>
      <w:t>A-1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0FD46" w14:textId="6A97E902" w:rsidR="00E436C5" w:rsidRPr="002876CF" w:rsidRDefault="00E436C5" w:rsidP="002876CF">
    <w:pPr>
      <w:pStyle w:val="Footer"/>
    </w:pPr>
    <w:r w:rsidRPr="00C510B5">
      <w:rPr>
        <w:rFonts w:ascii="Arial" w:hAnsi="Arial"/>
      </w:rPr>
      <w:t>V</w:t>
    </w:r>
    <w:r w:rsidR="00B35828">
      <w:rPr>
        <w:rFonts w:ascii="Arial" w:hAnsi="Arial"/>
      </w:rPr>
      <w:t>7.</w:t>
    </w:r>
    <w:r w:rsidR="00BC05D3">
      <w:rPr>
        <w:rFonts w:ascii="Arial" w:hAnsi="Arial"/>
      </w:rPr>
      <w:t>1</w:t>
    </w:r>
    <w:r w:rsidRPr="00C510B5">
      <w:rPr>
        <w:rFonts w:ascii="Arial" w:hAnsi="Arial"/>
      </w:rPr>
      <w:tab/>
    </w:r>
    <w:r w:rsidRPr="00C510B5">
      <w:rPr>
        <w:rFonts w:ascii="Arial" w:hAnsi="Arial"/>
      </w:rPr>
      <w:tab/>
      <w:t>DTID #:  TCC</w:t>
    </w:r>
    <w:r w:rsidR="00510593">
      <w:rPr>
        <w:rFonts w:ascii="Arial" w:hAnsi="Arial"/>
      </w:rPr>
      <w:t>2</w:t>
    </w:r>
    <w:r w:rsidRPr="00C510B5">
      <w:rPr>
        <w:rFonts w:ascii="Arial" w:hAnsi="Arial"/>
      </w:rPr>
      <w:t>-ASC-</w:t>
    </w:r>
    <w:r w:rsidR="00510593">
      <w:rPr>
        <w:rFonts w:ascii="Arial" w:hAnsi="Arial"/>
      </w:rPr>
      <w:t>0068-20220</w:t>
    </w:r>
    <w:r w:rsidR="00045845">
      <w:rPr>
        <w:rFonts w:ascii="Arial" w:hAnsi="Arial"/>
      </w:rPr>
      <w:t>608</w:t>
    </w:r>
    <w:r w:rsidR="00510593">
      <w:rPr>
        <w:rFonts w:ascii="Arial" w:hAnsi="Arial"/>
      </w:rPr>
      <w:t>-7</w:t>
    </w:r>
    <w:r w:rsidRPr="002876CF">
      <w:tab/>
    </w:r>
    <w:r w:rsidRPr="002876CF">
      <w:tab/>
    </w:r>
    <w:r w:rsidRPr="00C510B5">
      <w:rPr>
        <w:rFonts w:ascii="Arial" w:hAnsi="Arial"/>
      </w:rPr>
      <w:fldChar w:fldCharType="begin"/>
    </w:r>
    <w:r w:rsidRPr="00C510B5">
      <w:rPr>
        <w:rFonts w:ascii="Arial" w:hAnsi="Arial"/>
      </w:rPr>
      <w:instrText xml:space="preserve"> PAGE   \* MERGEFORMAT </w:instrText>
    </w:r>
    <w:r w:rsidRPr="00C510B5">
      <w:rPr>
        <w:rFonts w:ascii="Arial" w:hAnsi="Arial"/>
      </w:rPr>
      <w:fldChar w:fldCharType="separate"/>
    </w:r>
    <w:r w:rsidR="003D5EA0">
      <w:rPr>
        <w:rFonts w:ascii="Arial" w:hAnsi="Arial"/>
        <w:noProof/>
      </w:rPr>
      <w:t>1</w:t>
    </w:r>
    <w:r w:rsidRPr="00C510B5">
      <w:rPr>
        <w:rFonts w:ascii="Arial" w:hAnsi="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6C2DD" w14:textId="60D2E02B" w:rsidR="00E436C5" w:rsidRPr="00E436C5" w:rsidRDefault="00E436C5" w:rsidP="002876CF">
    <w:pPr>
      <w:pStyle w:val="Footer"/>
      <w:rPr>
        <w:rFonts w:ascii="Arial" w:hAnsi="Arial"/>
      </w:rPr>
    </w:pPr>
    <w:r w:rsidRPr="00C510B5">
      <w:rPr>
        <w:rFonts w:ascii="Arial" w:hAnsi="Arial"/>
      </w:rPr>
      <w:t>V</w:t>
    </w:r>
    <w:r w:rsidR="00846A41">
      <w:rPr>
        <w:rFonts w:ascii="Arial" w:hAnsi="Arial"/>
      </w:rPr>
      <w:t>7.</w:t>
    </w:r>
    <w:r w:rsidR="00BC05D3">
      <w:rPr>
        <w:rFonts w:ascii="Arial" w:hAnsi="Arial"/>
      </w:rPr>
      <w:t>1</w:t>
    </w:r>
    <w:r w:rsidRPr="00C510B5">
      <w:rPr>
        <w:rFonts w:ascii="Arial" w:hAnsi="Arial"/>
      </w:rPr>
      <w:tab/>
    </w:r>
    <w:r w:rsidRPr="00C510B5">
      <w:rPr>
        <w:rFonts w:ascii="Arial" w:hAnsi="Arial"/>
      </w:rPr>
      <w:tab/>
      <w:t>DTID #:  TCC-ASC-342-02-</w:t>
    </w:r>
    <w:r w:rsidRPr="00E436C5">
      <w:rPr>
        <w:rFonts w:ascii="Arial" w:hAnsi="Arial"/>
      </w:rPr>
      <w:t>20</w:t>
    </w:r>
    <w:r w:rsidR="00846A41">
      <w:rPr>
        <w:rFonts w:ascii="Arial" w:hAnsi="Arial"/>
      </w:rPr>
      <w:t>220</w:t>
    </w:r>
    <w:r w:rsidR="00A33239">
      <w:rPr>
        <w:rFonts w:ascii="Arial" w:hAnsi="Arial"/>
      </w:rPr>
      <w:t>608</w:t>
    </w:r>
    <w:r w:rsidR="00846A41">
      <w:rPr>
        <w:rFonts w:ascii="Arial" w:hAnsi="Arial"/>
      </w:rPr>
      <w:t>-7</w:t>
    </w:r>
    <w:r w:rsidRPr="00C510B5">
      <w:rPr>
        <w:rFonts w:ascii="Arial" w:hAnsi="Arial"/>
      </w:rPr>
      <w:tab/>
    </w:r>
    <w:r w:rsidRPr="00C510B5">
      <w:rPr>
        <w:rFonts w:ascii="Arial" w:hAnsi="Arial"/>
      </w:rPr>
      <w:tab/>
    </w:r>
    <w:r w:rsidRPr="00C510B5">
      <w:rPr>
        <w:rFonts w:ascii="Arial" w:hAnsi="Arial"/>
      </w:rPr>
      <w:fldChar w:fldCharType="begin"/>
    </w:r>
    <w:r w:rsidRPr="00C510B5">
      <w:rPr>
        <w:rFonts w:ascii="Arial" w:hAnsi="Arial"/>
      </w:rPr>
      <w:instrText xml:space="preserve"> PAGE   \* MERGEFORMAT </w:instrText>
    </w:r>
    <w:r w:rsidRPr="00C510B5">
      <w:rPr>
        <w:rFonts w:ascii="Arial" w:hAnsi="Arial"/>
      </w:rPr>
      <w:fldChar w:fldCharType="separate"/>
    </w:r>
    <w:r w:rsidR="003D5EA0">
      <w:rPr>
        <w:rFonts w:ascii="Arial" w:hAnsi="Arial"/>
        <w:noProof/>
      </w:rPr>
      <w:t>23</w:t>
    </w:r>
    <w:r w:rsidRPr="00C510B5">
      <w:rPr>
        <w:rFonts w:ascii="Arial" w:hAnsi="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A65A3" w14:textId="77777777" w:rsidR="00721599" w:rsidRDefault="00721599" w:rsidP="002466A5"/>
    <w:p w14:paraId="2CF9FFA0" w14:textId="77777777" w:rsidR="00721599" w:rsidRDefault="00721599" w:rsidP="002466A5"/>
  </w:footnote>
  <w:footnote w:type="continuationSeparator" w:id="0">
    <w:p w14:paraId="0C746CD4" w14:textId="77777777" w:rsidR="00721599" w:rsidRDefault="00721599" w:rsidP="002466A5"/>
    <w:p w14:paraId="697FA85A" w14:textId="77777777" w:rsidR="00721599" w:rsidRDefault="00721599" w:rsidP="002466A5"/>
  </w:footnote>
  <w:footnote w:type="continuationNotice" w:id="1">
    <w:p w14:paraId="4ACD4784" w14:textId="77777777" w:rsidR="00721599" w:rsidRDefault="00721599" w:rsidP="002466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2F80" w14:textId="77777777" w:rsidR="00E436C5" w:rsidRPr="00834D49" w:rsidRDefault="00E436C5" w:rsidP="002466A5">
    <w:pPr>
      <w:pStyle w:val="Header"/>
      <w:rPr>
        <w:rFonts w:eastAsia="Garamond"/>
        <w:i/>
        <w:sz w:val="20"/>
      </w:rPr>
    </w:pPr>
    <w:r>
      <w:rPr>
        <w:rFonts w:eastAsia="Garamond"/>
        <w:sz w:val="20"/>
      </w:rPr>
      <w:t>Transition handbook</w:t>
    </w:r>
    <w:r>
      <w:rPr>
        <w:rFonts w:eastAsia="Garamon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362480"/>
    <w:lvl w:ilvl="0">
      <w:start w:val="1"/>
      <w:numFmt w:val="decimal"/>
      <w:pStyle w:val="ListNumber5"/>
      <w:lvlText w:val="%1."/>
      <w:lvlJc w:val="left"/>
      <w:pPr>
        <w:tabs>
          <w:tab w:val="num" w:pos="-2970"/>
        </w:tabs>
        <w:ind w:left="-2970" w:hanging="360"/>
      </w:pPr>
    </w:lvl>
  </w:abstractNum>
  <w:abstractNum w:abstractNumId="1" w15:restartNumberingAfterBreak="0">
    <w:nsid w:val="FFFFFF7D"/>
    <w:multiLevelType w:val="singleLevel"/>
    <w:tmpl w:val="7494B61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6ACCD2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9DE0DF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AB4EC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5BAC1F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84F0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E205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40BE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DB8BE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E7C48"/>
    <w:multiLevelType w:val="hybridMultilevel"/>
    <w:tmpl w:val="0CEAB38C"/>
    <w:name w:val="WW8Num72"/>
    <w:lvl w:ilvl="0" w:tplc="A2BA696E">
      <w:start w:val="1"/>
      <w:numFmt w:val="lowerLetter"/>
      <w:lvlText w:val="%1)"/>
      <w:lvlJc w:val="left"/>
      <w:pPr>
        <w:tabs>
          <w:tab w:val="num" w:pos="1080"/>
        </w:tabs>
        <w:ind w:left="1080" w:hanging="360"/>
      </w:pPr>
      <w:rPr>
        <w:rFonts w:hint="default"/>
        <w:b/>
      </w:rPr>
    </w:lvl>
    <w:lvl w:ilvl="1" w:tplc="822AFA9A">
      <w:start w:val="1"/>
      <w:numFmt w:val="lowerLetter"/>
      <w:lvlText w:val="(%2)"/>
      <w:lvlJc w:val="left"/>
      <w:pPr>
        <w:tabs>
          <w:tab w:val="num" w:pos="1728"/>
        </w:tabs>
        <w:ind w:left="1728" w:hanging="360"/>
      </w:pPr>
      <w:rPr>
        <w:rFonts w:hint="default"/>
      </w:r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1" w15:restartNumberingAfterBreak="0">
    <w:nsid w:val="0ABF6C81"/>
    <w:multiLevelType w:val="multilevel"/>
    <w:tmpl w:val="711A9298"/>
    <w:lvl w:ilvl="0">
      <w:start w:val="1"/>
      <w:numFmt w:val="lowerLetter"/>
      <w:lvlText w:val="%1."/>
      <w:lvlJc w:val="left"/>
      <w:pPr>
        <w:ind w:left="360" w:hanging="360"/>
      </w:pPr>
      <w:rPr>
        <w:rFonts w:hint="default"/>
      </w:rPr>
    </w:lvl>
    <w:lvl w:ilvl="1">
      <w:start w:val="1"/>
      <w:numFmt w:val="lowerRoman"/>
      <w:lvlText w:val="%2."/>
      <w:lvlJc w:val="left"/>
      <w:pPr>
        <w:ind w:left="720"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0AE073B3"/>
    <w:multiLevelType w:val="hybridMultilevel"/>
    <w:tmpl w:val="D0D2B99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B5022DA"/>
    <w:multiLevelType w:val="hybridMultilevel"/>
    <w:tmpl w:val="642ED400"/>
    <w:name w:val="WW8Num7"/>
    <w:lvl w:ilvl="0" w:tplc="38708990">
      <w:start w:val="1"/>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C443FC9"/>
    <w:multiLevelType w:val="multilevel"/>
    <w:tmpl w:val="2026D362"/>
    <w:styleLink w:val="Heading2ASC"/>
    <w:lvl w:ilvl="0">
      <w:start w:val="1"/>
      <w:numFmt w:val="decimal"/>
      <w:lvlText w:val="%1"/>
      <w:lvlJc w:val="left"/>
      <w:pPr>
        <w:ind w:left="360" w:hanging="360"/>
      </w:pPr>
      <w:rPr>
        <w:rFonts w:ascii="Arial" w:hAnsi="Arial" w:hint="default"/>
        <w:b/>
        <w:i w:val="0"/>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0EED4E04"/>
    <w:multiLevelType w:val="hybridMultilevel"/>
    <w:tmpl w:val="66844764"/>
    <w:lvl w:ilvl="0" w:tplc="54386952">
      <w:start w:val="1"/>
      <w:numFmt w:val="decimal"/>
      <w:pStyle w:val="NoblisAppendixLevel2"/>
      <w:lvlText w:val="B.%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0A955C1"/>
    <w:multiLevelType w:val="hybridMultilevel"/>
    <w:tmpl w:val="ACDC1D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1FB750A"/>
    <w:multiLevelType w:val="hybridMultilevel"/>
    <w:tmpl w:val="C85AD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85254B"/>
    <w:multiLevelType w:val="hybridMultilevel"/>
    <w:tmpl w:val="B9F2F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E81E54"/>
    <w:multiLevelType w:val="multilevel"/>
    <w:tmpl w:val="9D067A6A"/>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18867057"/>
    <w:multiLevelType w:val="hybridMultilevel"/>
    <w:tmpl w:val="376EE986"/>
    <w:lvl w:ilvl="0" w:tplc="4314E388">
      <w:start w:val="1"/>
      <w:numFmt w:val="bullet"/>
      <w:pStyle w:val="Proptablebullet1"/>
      <w:lvlText w:val=""/>
      <w:lvlJc w:val="left"/>
      <w:pPr>
        <w:tabs>
          <w:tab w:val="num" w:pos="360"/>
        </w:tabs>
        <w:ind w:left="360" w:hanging="360"/>
      </w:pPr>
      <w:rPr>
        <w:rFonts w:ascii="Symbol" w:hAnsi="Symbol" w:hint="default"/>
        <w:b w:val="0"/>
        <w:i w:val="0"/>
        <w:color w:val="42637A"/>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BA5482F"/>
    <w:multiLevelType w:val="hybridMultilevel"/>
    <w:tmpl w:val="D7160B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D3E0A07"/>
    <w:multiLevelType w:val="hybridMultilevel"/>
    <w:tmpl w:val="9D6E04E4"/>
    <w:lvl w:ilvl="0" w:tplc="86A4D520">
      <w:start w:val="1"/>
      <w:numFmt w:val="bullet"/>
      <w:pStyle w:val="Bullet1"/>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5906F1"/>
    <w:multiLevelType w:val="hybridMultilevel"/>
    <w:tmpl w:val="2C3C8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C25BE8"/>
    <w:multiLevelType w:val="hybridMultilevel"/>
    <w:tmpl w:val="413874F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2A12AFB"/>
    <w:multiLevelType w:val="multilevel"/>
    <w:tmpl w:val="9D067A6A"/>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22AD0FC2"/>
    <w:multiLevelType w:val="multilevel"/>
    <w:tmpl w:val="C01EB268"/>
    <w:styleLink w:val="PropBulletList"/>
    <w:lvl w:ilvl="0">
      <w:start w:val="1"/>
      <w:numFmt w:val="bullet"/>
      <w:lvlText w:val=""/>
      <w:lvlJc w:val="left"/>
      <w:pPr>
        <w:tabs>
          <w:tab w:val="num" w:pos="360"/>
        </w:tabs>
        <w:ind w:left="360" w:hanging="360"/>
      </w:pPr>
      <w:rPr>
        <w:rFonts w:ascii="Symbol" w:hAnsi="Symbol" w:hint="default"/>
        <w:color w:val="42637A"/>
        <w:sz w:val="24"/>
      </w:rPr>
    </w:lvl>
    <w:lvl w:ilvl="1">
      <w:start w:val="1"/>
      <w:numFmt w:val="bullet"/>
      <w:pStyle w:val="propbullet2"/>
      <w:lvlText w:val="►"/>
      <w:lvlJc w:val="left"/>
      <w:pPr>
        <w:tabs>
          <w:tab w:val="num" w:pos="360"/>
        </w:tabs>
        <w:ind w:left="720" w:hanging="360"/>
      </w:pPr>
      <w:rPr>
        <w:rFonts w:ascii="Arial Narrow" w:hAnsi="Arial Narrow" w:hint="default"/>
        <w:color w:val="42637A"/>
        <w:sz w:val="18"/>
      </w:rPr>
    </w:lvl>
    <w:lvl w:ilvl="2">
      <w:start w:val="1"/>
      <w:numFmt w:val="bullet"/>
      <w:pStyle w:val="propbullet3"/>
      <w:lvlText w:val="■"/>
      <w:lvlJc w:val="left"/>
      <w:pPr>
        <w:tabs>
          <w:tab w:val="num" w:pos="360"/>
        </w:tabs>
        <w:ind w:left="1080" w:hanging="360"/>
      </w:pPr>
      <w:rPr>
        <w:rFonts w:ascii="Arial" w:hAnsi="Arial" w:hint="default"/>
        <w:color w:val="42637A"/>
        <w:sz w:val="18"/>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2AE20D0"/>
    <w:multiLevelType w:val="hybridMultilevel"/>
    <w:tmpl w:val="21CE47FE"/>
    <w:lvl w:ilvl="0" w:tplc="04090001">
      <w:start w:val="1"/>
      <w:numFmt w:val="bullet"/>
      <w:lvlText w:val=""/>
      <w:lvlJc w:val="left"/>
      <w:pPr>
        <w:ind w:left="720" w:hanging="360"/>
      </w:pPr>
      <w:rPr>
        <w:rFonts w:ascii="Symbol" w:hAnsi="Symbol" w:hint="default"/>
      </w:rPr>
    </w:lvl>
    <w:lvl w:ilvl="1" w:tplc="8862A716">
      <w:start w:val="1"/>
      <w:numFmt w:val="decimal"/>
      <w:lvlText w:val="%2."/>
      <w:lvlJc w:val="left"/>
      <w:pPr>
        <w:ind w:left="1440" w:hanging="360"/>
      </w:pPr>
      <w:rPr>
        <w:rFonts w:ascii="Arial" w:hAnsi="Arial" w:hint="default"/>
        <w:b w:val="0"/>
        <w: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4A4F91"/>
    <w:multiLevelType w:val="hybridMultilevel"/>
    <w:tmpl w:val="6792A79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A301C13"/>
    <w:multiLevelType w:val="hybridMultilevel"/>
    <w:tmpl w:val="F18E5906"/>
    <w:name w:val="WW8Num742"/>
    <w:lvl w:ilvl="0" w:tplc="5B9C0A24">
      <w:start w:val="1"/>
      <w:numFmt w:val="lowerLetter"/>
      <w:lvlText w:val="%1)"/>
      <w:lvlJc w:val="left"/>
      <w:pPr>
        <w:tabs>
          <w:tab w:val="num" w:pos="1512"/>
        </w:tabs>
        <w:ind w:left="1512" w:hanging="360"/>
      </w:pPr>
      <w:rPr>
        <w:rFonts w:hint="default"/>
        <w:b/>
        <w:i w:val="0"/>
      </w:rPr>
    </w:lvl>
    <w:lvl w:ilvl="1" w:tplc="04090019">
      <w:start w:val="1"/>
      <w:numFmt w:val="lowerLetter"/>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F7A09F7"/>
    <w:multiLevelType w:val="multilevel"/>
    <w:tmpl w:val="9D067A6A"/>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2F7D1C8D"/>
    <w:multiLevelType w:val="multilevel"/>
    <w:tmpl w:val="C01EB268"/>
    <w:lvl w:ilvl="0">
      <w:start w:val="1"/>
      <w:numFmt w:val="bullet"/>
      <w:pStyle w:val="Noblisbullet1"/>
      <w:lvlText w:val=""/>
      <w:lvlJc w:val="left"/>
      <w:pPr>
        <w:tabs>
          <w:tab w:val="num" w:pos="360"/>
        </w:tabs>
        <w:ind w:left="360" w:hanging="360"/>
      </w:pPr>
      <w:rPr>
        <w:rFonts w:ascii="Symbol" w:hAnsi="Symbol" w:hint="default"/>
        <w:color w:val="42637A"/>
        <w:sz w:val="24"/>
      </w:rPr>
    </w:lvl>
    <w:lvl w:ilvl="1">
      <w:start w:val="1"/>
      <w:numFmt w:val="bullet"/>
      <w:pStyle w:val="Noblisbullet2"/>
      <w:lvlText w:val="►"/>
      <w:lvlJc w:val="left"/>
      <w:pPr>
        <w:tabs>
          <w:tab w:val="num" w:pos="360"/>
        </w:tabs>
        <w:ind w:left="720" w:hanging="360"/>
      </w:pPr>
      <w:rPr>
        <w:rFonts w:ascii="Arial Narrow" w:hAnsi="Arial Narrow" w:hint="default"/>
        <w:color w:val="42637A"/>
        <w:sz w:val="18"/>
      </w:rPr>
    </w:lvl>
    <w:lvl w:ilvl="2">
      <w:start w:val="1"/>
      <w:numFmt w:val="bullet"/>
      <w:pStyle w:val="Noblisbullet3"/>
      <w:lvlText w:val="■"/>
      <w:lvlJc w:val="left"/>
      <w:pPr>
        <w:tabs>
          <w:tab w:val="num" w:pos="360"/>
        </w:tabs>
        <w:ind w:left="1080" w:hanging="360"/>
      </w:pPr>
      <w:rPr>
        <w:rFonts w:ascii="Arial" w:hAnsi="Arial" w:hint="default"/>
        <w:color w:val="42637A"/>
        <w:sz w:val="18"/>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3365303"/>
    <w:multiLevelType w:val="hybridMultilevel"/>
    <w:tmpl w:val="DEFE5DE4"/>
    <w:lvl w:ilvl="0" w:tplc="04090001">
      <w:start w:val="1"/>
      <w:numFmt w:val="bullet"/>
      <w:lvlText w:val=""/>
      <w:lvlJc w:val="left"/>
      <w:pPr>
        <w:tabs>
          <w:tab w:val="num" w:pos="720"/>
        </w:tabs>
        <w:ind w:left="720" w:hanging="360"/>
      </w:pPr>
      <w:rPr>
        <w:rFonts w:ascii="Symbol" w:hAnsi="Symbol" w:hint="default"/>
      </w:rPr>
    </w:lvl>
    <w:lvl w:ilvl="1" w:tplc="BB80BAF6">
      <w:start w:val="1"/>
      <w:numFmt w:val="bullet"/>
      <w:lvlText w:val=""/>
      <w:lvlJc w:val="left"/>
      <w:pPr>
        <w:tabs>
          <w:tab w:val="num" w:pos="1440"/>
        </w:tabs>
        <w:ind w:left="1440" w:hanging="360"/>
      </w:pPr>
      <w:rPr>
        <w:rFonts w:ascii="Wingdings" w:hAnsi="Wingdings" w:hint="default"/>
      </w:rPr>
    </w:lvl>
    <w:lvl w:ilvl="2" w:tplc="1164AD72" w:tentative="1">
      <w:start w:val="1"/>
      <w:numFmt w:val="bullet"/>
      <w:lvlText w:val=""/>
      <w:lvlJc w:val="left"/>
      <w:pPr>
        <w:tabs>
          <w:tab w:val="num" w:pos="2160"/>
        </w:tabs>
        <w:ind w:left="2160" w:hanging="360"/>
      </w:pPr>
      <w:rPr>
        <w:rFonts w:ascii="Wingdings" w:hAnsi="Wingdings" w:hint="default"/>
      </w:rPr>
    </w:lvl>
    <w:lvl w:ilvl="3" w:tplc="8AD0D216" w:tentative="1">
      <w:start w:val="1"/>
      <w:numFmt w:val="bullet"/>
      <w:lvlText w:val=""/>
      <w:lvlJc w:val="left"/>
      <w:pPr>
        <w:tabs>
          <w:tab w:val="num" w:pos="2880"/>
        </w:tabs>
        <w:ind w:left="2880" w:hanging="360"/>
      </w:pPr>
      <w:rPr>
        <w:rFonts w:ascii="Wingdings" w:hAnsi="Wingdings" w:hint="default"/>
      </w:rPr>
    </w:lvl>
    <w:lvl w:ilvl="4" w:tplc="557C0A98" w:tentative="1">
      <w:start w:val="1"/>
      <w:numFmt w:val="bullet"/>
      <w:lvlText w:val=""/>
      <w:lvlJc w:val="left"/>
      <w:pPr>
        <w:tabs>
          <w:tab w:val="num" w:pos="3600"/>
        </w:tabs>
        <w:ind w:left="3600" w:hanging="360"/>
      </w:pPr>
      <w:rPr>
        <w:rFonts w:ascii="Wingdings" w:hAnsi="Wingdings" w:hint="default"/>
      </w:rPr>
    </w:lvl>
    <w:lvl w:ilvl="5" w:tplc="ECC4B60C" w:tentative="1">
      <w:start w:val="1"/>
      <w:numFmt w:val="bullet"/>
      <w:lvlText w:val=""/>
      <w:lvlJc w:val="left"/>
      <w:pPr>
        <w:tabs>
          <w:tab w:val="num" w:pos="4320"/>
        </w:tabs>
        <w:ind w:left="4320" w:hanging="360"/>
      </w:pPr>
      <w:rPr>
        <w:rFonts w:ascii="Wingdings" w:hAnsi="Wingdings" w:hint="default"/>
      </w:rPr>
    </w:lvl>
    <w:lvl w:ilvl="6" w:tplc="7AFC7AFE" w:tentative="1">
      <w:start w:val="1"/>
      <w:numFmt w:val="bullet"/>
      <w:lvlText w:val=""/>
      <w:lvlJc w:val="left"/>
      <w:pPr>
        <w:tabs>
          <w:tab w:val="num" w:pos="5040"/>
        </w:tabs>
        <w:ind w:left="5040" w:hanging="360"/>
      </w:pPr>
      <w:rPr>
        <w:rFonts w:ascii="Wingdings" w:hAnsi="Wingdings" w:hint="default"/>
      </w:rPr>
    </w:lvl>
    <w:lvl w:ilvl="7" w:tplc="CD4EE6E0" w:tentative="1">
      <w:start w:val="1"/>
      <w:numFmt w:val="bullet"/>
      <w:lvlText w:val=""/>
      <w:lvlJc w:val="left"/>
      <w:pPr>
        <w:tabs>
          <w:tab w:val="num" w:pos="5760"/>
        </w:tabs>
        <w:ind w:left="5760" w:hanging="360"/>
      </w:pPr>
      <w:rPr>
        <w:rFonts w:ascii="Wingdings" w:hAnsi="Wingdings" w:hint="default"/>
      </w:rPr>
    </w:lvl>
    <w:lvl w:ilvl="8" w:tplc="9E3006E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5A12C63"/>
    <w:multiLevelType w:val="hybridMultilevel"/>
    <w:tmpl w:val="1EA29134"/>
    <w:lvl w:ilvl="0" w:tplc="172C49A4">
      <w:start w:val="2"/>
      <w:numFmt w:val="bullet"/>
      <w:pStyle w:val="Noblistablebullet2"/>
      <w:lvlText w:val="-"/>
      <w:lvlJc w:val="left"/>
      <w:pPr>
        <w:ind w:left="720" w:hanging="360"/>
      </w:pPr>
      <w:rPr>
        <w:rFonts w:ascii="Calibri" w:eastAsiaTheme="minorHAnsi" w:hAnsi="Calibri"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427AF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3A4775B4"/>
    <w:multiLevelType w:val="multilevel"/>
    <w:tmpl w:val="AA668C04"/>
    <w:lvl w:ilvl="0">
      <w:start w:val="1"/>
      <w:numFmt w:val="lowerLetter"/>
      <w:lvlText w:val="%1."/>
      <w:lvlJc w:val="left"/>
      <w:pPr>
        <w:ind w:left="360" w:hanging="360"/>
      </w:pPr>
      <w:rPr>
        <w:rFonts w:hint="default"/>
      </w:rPr>
    </w:lvl>
    <w:lvl w:ilvl="1">
      <w:start w:val="1"/>
      <w:numFmt w:val="lowerRoman"/>
      <w:lvlText w:val="%2."/>
      <w:lvlJc w:val="left"/>
      <w:pPr>
        <w:ind w:left="720"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3AF9245B"/>
    <w:multiLevelType w:val="hybridMultilevel"/>
    <w:tmpl w:val="CA64F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D649B5"/>
    <w:multiLevelType w:val="hybridMultilevel"/>
    <w:tmpl w:val="F73C3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C862D37"/>
    <w:multiLevelType w:val="hybridMultilevel"/>
    <w:tmpl w:val="E76235B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08A2687"/>
    <w:multiLevelType w:val="hybridMultilevel"/>
    <w:tmpl w:val="6E88E970"/>
    <w:lvl w:ilvl="0" w:tplc="98AC8DAC">
      <w:start w:val="1"/>
      <w:numFmt w:val="decimal"/>
      <w:pStyle w:val="AppendixBHeading2"/>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936873"/>
    <w:multiLevelType w:val="hybridMultilevel"/>
    <w:tmpl w:val="BEB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4FF3640"/>
    <w:multiLevelType w:val="hybridMultilevel"/>
    <w:tmpl w:val="06BC96CE"/>
    <w:lvl w:ilvl="0" w:tplc="FF9A71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64A47F1"/>
    <w:multiLevelType w:val="hybridMultilevel"/>
    <w:tmpl w:val="E76235B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66B4555"/>
    <w:multiLevelType w:val="hybridMultilevel"/>
    <w:tmpl w:val="E76235B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BCE70FB"/>
    <w:multiLevelType w:val="multilevel"/>
    <w:tmpl w:val="C01EB268"/>
    <w:numStyleLink w:val="PropBulletList"/>
  </w:abstractNum>
  <w:abstractNum w:abstractNumId="45" w15:restartNumberingAfterBreak="0">
    <w:nsid w:val="503C5699"/>
    <w:multiLevelType w:val="hybridMultilevel"/>
    <w:tmpl w:val="E0F6DC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6" w15:restartNumberingAfterBreak="0">
    <w:nsid w:val="519D3F8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51BA23EB"/>
    <w:multiLevelType w:val="multilevel"/>
    <w:tmpl w:val="9D067A6A"/>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8" w15:restartNumberingAfterBreak="0">
    <w:nsid w:val="53360910"/>
    <w:multiLevelType w:val="hybridMultilevel"/>
    <w:tmpl w:val="AE00D2F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34F3356"/>
    <w:multiLevelType w:val="multilevel"/>
    <w:tmpl w:val="3B3834B8"/>
    <w:numStyleLink w:val="PropNumberedList"/>
  </w:abstractNum>
  <w:abstractNum w:abstractNumId="50" w15:restartNumberingAfterBreak="0">
    <w:nsid w:val="537865DE"/>
    <w:multiLevelType w:val="hybridMultilevel"/>
    <w:tmpl w:val="7BCCE11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4F91855"/>
    <w:multiLevelType w:val="hybridMultilevel"/>
    <w:tmpl w:val="5B5AFD0C"/>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5B24D76"/>
    <w:multiLevelType w:val="hybridMultilevel"/>
    <w:tmpl w:val="E76235B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A070ECE"/>
    <w:multiLevelType w:val="hybridMultilevel"/>
    <w:tmpl w:val="4248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AD27A1"/>
    <w:multiLevelType w:val="hybridMultilevel"/>
    <w:tmpl w:val="E754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EEC4431"/>
    <w:multiLevelType w:val="hybridMultilevel"/>
    <w:tmpl w:val="E76235B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5F3C5827"/>
    <w:multiLevelType w:val="hybridMultilevel"/>
    <w:tmpl w:val="1C4E5F2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1036AC2"/>
    <w:multiLevelType w:val="hybridMultilevel"/>
    <w:tmpl w:val="2BC48590"/>
    <w:lvl w:ilvl="0" w:tplc="6838B396">
      <w:start w:val="1"/>
      <w:numFmt w:val="bullet"/>
      <w:pStyle w:val="Noblistable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1682179"/>
    <w:multiLevelType w:val="hybridMultilevel"/>
    <w:tmpl w:val="589820EE"/>
    <w:lvl w:ilvl="0" w:tplc="0409000D">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9" w15:restartNumberingAfterBreak="0">
    <w:nsid w:val="63517298"/>
    <w:multiLevelType w:val="hybridMultilevel"/>
    <w:tmpl w:val="155E00F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3D1033B"/>
    <w:multiLevelType w:val="hybridMultilevel"/>
    <w:tmpl w:val="38E6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62A1DCA"/>
    <w:multiLevelType w:val="hybridMultilevel"/>
    <w:tmpl w:val="EF5E8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7CC4812"/>
    <w:multiLevelType w:val="hybridMultilevel"/>
    <w:tmpl w:val="E76235B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ACD0F8C"/>
    <w:multiLevelType w:val="hybridMultilevel"/>
    <w:tmpl w:val="6276AE1E"/>
    <w:name w:val="WW8Num7422"/>
    <w:lvl w:ilvl="0" w:tplc="4BD0D3C8">
      <w:start w:val="4"/>
      <w:numFmt w:val="lowerLetter"/>
      <w:lvlText w:val="%1)"/>
      <w:lvlJc w:val="left"/>
      <w:pPr>
        <w:tabs>
          <w:tab w:val="num" w:pos="1512"/>
        </w:tabs>
        <w:ind w:left="1512"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C8745C6"/>
    <w:multiLevelType w:val="hybridMultilevel"/>
    <w:tmpl w:val="124675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F6B1BDA"/>
    <w:multiLevelType w:val="multilevel"/>
    <w:tmpl w:val="FEDAA0B2"/>
    <w:lvl w:ilvl="0">
      <w:start w:val="1"/>
      <w:numFmt w:val="decimal"/>
      <w:pStyle w:val="NoblisNumberedList1"/>
      <w:lvlText w:val="%1."/>
      <w:lvlJc w:val="left"/>
      <w:pPr>
        <w:tabs>
          <w:tab w:val="num" w:pos="360"/>
        </w:tabs>
        <w:ind w:left="360" w:hanging="360"/>
      </w:pPr>
      <w:rPr>
        <w:rFonts w:ascii="Arial" w:hAnsi="Arial" w:cs="Arial" w:hint="default"/>
        <w:sz w:val="28"/>
        <w:szCs w:val="28"/>
      </w:rPr>
    </w:lvl>
    <w:lvl w:ilvl="1">
      <w:start w:val="1"/>
      <w:numFmt w:val="lowerLetter"/>
      <w:pStyle w:val="NoblisNumberedList2"/>
      <w:lvlText w:val="%2."/>
      <w:lvlJc w:val="left"/>
      <w:pPr>
        <w:tabs>
          <w:tab w:val="num" w:pos="360"/>
        </w:tabs>
        <w:ind w:left="720" w:hanging="360"/>
      </w:pPr>
      <w:rPr>
        <w:rFonts w:ascii="Arial" w:hAnsi="Arial" w:cs="Arial" w:hint="default"/>
        <w:b/>
        <w:i w:val="0"/>
        <w:sz w:val="22"/>
        <w:szCs w:val="22"/>
      </w:rPr>
    </w:lvl>
    <w:lvl w:ilvl="2">
      <w:start w:val="1"/>
      <w:numFmt w:val="lowerRoman"/>
      <w:pStyle w:val="NoblisNumberedList3"/>
      <w:lvlText w:val="%3."/>
      <w:lvlJc w:val="right"/>
      <w:pPr>
        <w:tabs>
          <w:tab w:val="num" w:pos="216"/>
        </w:tabs>
        <w:ind w:left="1152" w:hanging="216"/>
      </w:pPr>
      <w:rPr>
        <w:rFonts w:ascii="Times New Roman" w:hAnsi="Times New Roman" w:hint="default"/>
        <w:sz w:val="24"/>
      </w:rPr>
    </w:lvl>
    <w:lvl w:ilvl="3">
      <w:start w:val="1"/>
      <w:numFmt w:val="upperLetter"/>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66" w15:restartNumberingAfterBreak="0">
    <w:nsid w:val="70D32B5C"/>
    <w:multiLevelType w:val="hybridMultilevel"/>
    <w:tmpl w:val="4752ABA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1116584"/>
    <w:multiLevelType w:val="multilevel"/>
    <w:tmpl w:val="38C679E8"/>
    <w:lvl w:ilvl="0">
      <w:start w:val="1"/>
      <w:numFmt w:val="decimal"/>
      <w:lvlText w:val="%1"/>
      <w:lvlJc w:val="left"/>
      <w:pPr>
        <w:tabs>
          <w:tab w:val="num" w:pos="5202"/>
        </w:tabs>
        <w:ind w:left="5202" w:hanging="432"/>
      </w:pPr>
      <w:rPr>
        <w:rFonts w:ascii="Arial Bold" w:hAnsi="Arial Bold" w:cs="Arial" w:hint="default"/>
        <w:b/>
        <w:bCs/>
        <w:i w:val="0"/>
        <w:iCs w:val="0"/>
        <w:color w:val="42637A"/>
        <w:sz w:val="32"/>
        <w:szCs w:val="28"/>
        <w:u w:val="none"/>
      </w:rPr>
    </w:lvl>
    <w:lvl w:ilvl="1">
      <w:start w:val="1"/>
      <w:numFmt w:val="decimal"/>
      <w:pStyle w:val="NoblisHeading2"/>
      <w:lvlText w:val="%1.%2"/>
      <w:lvlJc w:val="left"/>
      <w:pPr>
        <w:tabs>
          <w:tab w:val="num" w:pos="576"/>
        </w:tabs>
        <w:ind w:left="576" w:hanging="576"/>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oblisHeading3"/>
      <w:lvlText w:val="%1.%2.%3"/>
      <w:lvlJc w:val="left"/>
      <w:pPr>
        <w:tabs>
          <w:tab w:val="num" w:pos="720"/>
        </w:tabs>
        <w:ind w:left="792" w:hanging="792"/>
      </w:pPr>
      <w:rPr>
        <w:rFonts w:ascii="Arial Bold" w:hAnsi="Arial Bold" w:cs="Arial" w:hint="default"/>
        <w:b/>
        <w:bCs/>
        <w:i w:val="0"/>
        <w:iCs w:val="0"/>
        <w:color w:val="42637A"/>
        <w:sz w:val="26"/>
        <w:szCs w:val="22"/>
      </w:rPr>
    </w:lvl>
    <w:lvl w:ilvl="3">
      <w:start w:val="1"/>
      <w:numFmt w:val="decimal"/>
      <w:pStyle w:val="NoblisHeading4"/>
      <w:lvlText w:val="%1.%2.%3.%4"/>
      <w:lvlJc w:val="left"/>
      <w:pPr>
        <w:tabs>
          <w:tab w:val="num" w:pos="720"/>
        </w:tabs>
        <w:ind w:left="936" w:hanging="936"/>
      </w:pPr>
      <w:rPr>
        <w:rFonts w:ascii="Arial Bold" w:hAnsi="Arial Bold" w:cs="Broadway" w:hint="default"/>
        <w:b/>
        <w:bCs/>
        <w:i w:val="0"/>
        <w:iCs w:val="0"/>
        <w:caps w:val="0"/>
        <w:strike w:val="0"/>
        <w:dstrike w:val="0"/>
        <w:vanish w:val="0"/>
        <w:color w:val="42637A"/>
        <w:spacing w:val="0"/>
        <w:kern w:val="0"/>
        <w:position w:val="0"/>
        <w:sz w:val="24"/>
        <w:szCs w:val="20"/>
        <w:u w:val="none"/>
        <w:vertAlign w:val="baseline"/>
        <w:em w:val="none"/>
      </w:rPr>
    </w:lvl>
    <w:lvl w:ilvl="4">
      <w:start w:val="2"/>
      <w:numFmt w:val="none"/>
      <w:lvlText w:val="Appendix G"/>
      <w:lvlJc w:val="left"/>
      <w:pPr>
        <w:tabs>
          <w:tab w:val="num" w:pos="1008"/>
        </w:tabs>
        <w:ind w:left="1008" w:hanging="1008"/>
      </w:pPr>
      <w:rPr>
        <w:rFonts w:hint="default"/>
        <w:i w:val="0"/>
        <w:iCs w:val="0"/>
        <w:caps w:val="0"/>
        <w:smallCaps w:val="0"/>
        <w:strike w:val="0"/>
        <w:dstrike w:val="0"/>
        <w:noProof w:val="0"/>
        <w:vanish w:val="0"/>
        <w:color w:val="42637A"/>
        <w:spacing w:val="0"/>
        <w:kern w:val="0"/>
        <w:position w:val="0"/>
        <w:u w:val="none"/>
        <w:effect w:val="none"/>
        <w:vertAlign w:val="baseline"/>
        <w:em w:val="none"/>
        <w:specVanish w:val="0"/>
      </w:rPr>
    </w:lvl>
    <w:lvl w:ilvl="5">
      <w:start w:val="1"/>
      <w:numFmt w:val="decimal"/>
      <w:lvlText w:val="G.%6"/>
      <w:lvlJc w:val="left"/>
      <w:pPr>
        <w:tabs>
          <w:tab w:val="num" w:pos="1152"/>
        </w:tabs>
        <w:ind w:left="1152" w:hanging="1152"/>
      </w:pPr>
      <w:rPr>
        <w:rFonts w:ascii="Arial Bold" w:hAnsi="Arial Bold" w:cs="Arial" w:hint="default"/>
        <w:b/>
        <w:i w:val="0"/>
        <w:color w:val="auto"/>
        <w:sz w:val="28"/>
      </w:rPr>
    </w:lvl>
    <w:lvl w:ilvl="6">
      <w:start w:val="1"/>
      <w:numFmt w:val="decimal"/>
      <w:lvlText w:val="G.%6.%7"/>
      <w:lvlJc w:val="left"/>
      <w:pPr>
        <w:tabs>
          <w:tab w:val="num" w:pos="1296"/>
        </w:tabs>
        <w:ind w:left="1296" w:hanging="1296"/>
      </w:pPr>
      <w:rPr>
        <w:rFonts w:ascii="Arial Bold" w:hAnsi="Arial Bold" w:cs="Arial" w:hint="default"/>
        <w:b/>
        <w:i w:val="0"/>
        <w:color w:val="000000" w:themeColor="text1"/>
        <w:sz w:val="26"/>
        <w:szCs w:val="26"/>
      </w:rPr>
    </w:lvl>
    <w:lvl w:ilvl="7">
      <w:start w:val="1"/>
      <w:numFmt w:val="decimal"/>
      <w:pStyle w:val="NoblisAppendixLevel4"/>
      <w:lvlText w:val="G.%6.%7.%8"/>
      <w:lvlJc w:val="left"/>
      <w:pPr>
        <w:tabs>
          <w:tab w:val="num" w:pos="1440"/>
        </w:tabs>
        <w:ind w:left="1440" w:hanging="1440"/>
      </w:pPr>
      <w:rPr>
        <w:rFonts w:ascii="Arial Bold" w:hAnsi="Arial Bold" w:hint="default"/>
        <w:b/>
        <w:i w:val="0"/>
        <w:color w:val="42637A"/>
        <w:sz w:val="24"/>
      </w:rPr>
    </w:lvl>
    <w:lvl w:ilvl="8">
      <w:start w:val="1"/>
      <w:numFmt w:val="upperLetter"/>
      <w:lvlText w:val="Appendix %9"/>
      <w:lvlJc w:val="left"/>
      <w:pPr>
        <w:tabs>
          <w:tab w:val="num" w:pos="1584"/>
        </w:tabs>
        <w:ind w:left="1584" w:hanging="1584"/>
      </w:pPr>
      <w:rPr>
        <w:rFonts w:hint="default"/>
        <w:sz w:val="40"/>
      </w:rPr>
    </w:lvl>
  </w:abstractNum>
  <w:abstractNum w:abstractNumId="68" w15:restartNumberingAfterBreak="0">
    <w:nsid w:val="720D2D96"/>
    <w:multiLevelType w:val="hybridMultilevel"/>
    <w:tmpl w:val="923CB328"/>
    <w:lvl w:ilvl="0" w:tplc="85C8B7D8">
      <w:start w:val="1"/>
      <w:numFmt w:val="upperLetter"/>
      <w:pStyle w:val="NoblisExtraHeading5"/>
      <w:lvlText w:val="Appendix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26E25C7"/>
    <w:multiLevelType w:val="multilevel"/>
    <w:tmpl w:val="253E2846"/>
    <w:lvl w:ilvl="0">
      <w:start w:val="1"/>
      <w:numFmt w:val="decimal"/>
      <w:pStyle w:val="AppendixBHeading1"/>
      <w:lvlText w:val="B.%1"/>
      <w:lvlJc w:val="left"/>
      <w:pPr>
        <w:ind w:left="360" w:hanging="360"/>
      </w:pPr>
      <w:rPr>
        <w:rFonts w:hint="default"/>
        <w:b/>
        <w:i w:val="0"/>
        <w:sz w:val="24"/>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0" w15:restartNumberingAfterBreak="0">
    <w:nsid w:val="74052873"/>
    <w:multiLevelType w:val="multilevel"/>
    <w:tmpl w:val="88709982"/>
    <w:styleLink w:val="1ai"/>
    <w:lvl w:ilvl="0">
      <w:start w:val="1"/>
      <w:numFmt w:val="decimal"/>
      <w:lvlText w:val="B.%1"/>
      <w:lvlJc w:val="left"/>
      <w:pPr>
        <w:ind w:left="360" w:hanging="360"/>
      </w:pPr>
      <w:rPr>
        <w:rFonts w:hint="default"/>
        <w:b/>
        <w:i w:val="0"/>
        <w:sz w:val="24"/>
      </w:rPr>
    </w:lvl>
    <w:lvl w:ilvl="1">
      <w:start w:val="1"/>
      <w:numFmt w:val="decimal"/>
      <w:pStyle w:val="Heading2Hdbk"/>
      <w:lvlText w:val="%1.%2"/>
      <w:lvlJc w:val="left"/>
      <w:pPr>
        <w:ind w:left="576" w:hanging="576"/>
      </w:pPr>
    </w:lvl>
    <w:lvl w:ilvl="2">
      <w:start w:val="1"/>
      <w:numFmt w:val="decimal"/>
      <w:pStyle w:val="Heading3Hdbk"/>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1" w15:restartNumberingAfterBreak="0">
    <w:nsid w:val="75576ADB"/>
    <w:multiLevelType w:val="hybridMultilevel"/>
    <w:tmpl w:val="E76235B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77AA0CAE"/>
    <w:multiLevelType w:val="hybridMultilevel"/>
    <w:tmpl w:val="48C4DA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8482B86"/>
    <w:multiLevelType w:val="hybridMultilevel"/>
    <w:tmpl w:val="8062C2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9521F96"/>
    <w:multiLevelType w:val="multilevel"/>
    <w:tmpl w:val="4018273E"/>
    <w:styleLink w:val="Style1"/>
    <w:lvl w:ilvl="0">
      <w:start w:val="1"/>
      <w:numFmt w:val="decimal"/>
      <w:lvlText w:val="%1"/>
      <w:lvlJc w:val="left"/>
      <w:pPr>
        <w:tabs>
          <w:tab w:val="num" w:pos="1800"/>
        </w:tabs>
        <w:ind w:left="1800" w:hanging="1800"/>
      </w:pPr>
      <w:rPr>
        <w:rFonts w:ascii="Arial Bold" w:hAnsi="Arial Bold" w:cs="Arial" w:hint="default"/>
        <w:b/>
        <w:bCs/>
        <w:i w:val="0"/>
        <w:iCs w:val="0"/>
        <w:color w:val="42637A"/>
        <w:sz w:val="32"/>
        <w:szCs w:val="28"/>
        <w:u w:val="none"/>
      </w:rPr>
    </w:lvl>
    <w:lvl w:ilvl="1">
      <w:start w:val="1"/>
      <w:numFmt w:val="decimal"/>
      <w:lvlText w:val="%1.%2"/>
      <w:lvlJc w:val="left"/>
      <w:pPr>
        <w:tabs>
          <w:tab w:val="num" w:pos="576"/>
        </w:tabs>
        <w:ind w:left="576" w:hanging="576"/>
      </w:pPr>
      <w:rPr>
        <w:rFonts w:ascii="Arial Bold" w:hAnsi="Arial Bold" w:cs="Arial" w:hint="default"/>
        <w:b/>
        <w:bCs w:val="0"/>
        <w:i w:val="0"/>
        <w:iCs w:val="0"/>
        <w:color w:val="42637A"/>
        <w:sz w:val="28"/>
        <w:szCs w:val="24"/>
        <w:u w:val="none"/>
      </w:rPr>
    </w:lvl>
    <w:lvl w:ilvl="2">
      <w:start w:val="1"/>
      <w:numFmt w:val="decimal"/>
      <w:lvlText w:val="%1.%2.%3"/>
      <w:lvlJc w:val="left"/>
      <w:pPr>
        <w:tabs>
          <w:tab w:val="num" w:pos="720"/>
        </w:tabs>
        <w:ind w:left="720" w:hanging="720"/>
      </w:pPr>
      <w:rPr>
        <w:rFonts w:ascii="Arial Bold" w:hAnsi="Arial Bold" w:cs="Arial" w:hint="default"/>
        <w:b/>
        <w:bCs/>
        <w:i w:val="0"/>
        <w:iCs w:val="0"/>
        <w:color w:val="42637A"/>
        <w:sz w:val="26"/>
        <w:szCs w:val="22"/>
      </w:rPr>
    </w:lvl>
    <w:lvl w:ilvl="3">
      <w:start w:val="1"/>
      <w:numFmt w:val="decimal"/>
      <w:lvlText w:val="%1.%2.%3.%4"/>
      <w:lvlJc w:val="left"/>
      <w:pPr>
        <w:tabs>
          <w:tab w:val="num" w:pos="720"/>
        </w:tabs>
        <w:ind w:left="720" w:hanging="720"/>
      </w:pPr>
      <w:rPr>
        <w:rFonts w:ascii="Arial Bold" w:hAnsi="Arial Bold" w:cs="Broadway" w:hint="default"/>
        <w:b/>
        <w:bCs/>
        <w:i w:val="0"/>
        <w:iCs w:val="0"/>
        <w:caps w:val="0"/>
        <w:strike w:val="0"/>
        <w:dstrike w:val="0"/>
        <w:vanish w:val="0"/>
        <w:color w:val="42637A"/>
        <w:spacing w:val="0"/>
        <w:kern w:val="0"/>
        <w:position w:val="0"/>
        <w:sz w:val="24"/>
        <w:szCs w:val="20"/>
        <w:u w:val="none"/>
        <w:vertAlign w:val="baseline"/>
        <w:em w:val="none"/>
      </w:rPr>
    </w:lvl>
    <w:lvl w:ilvl="4">
      <w:start w:val="1"/>
      <w:numFmt w:val="upperLetter"/>
      <w:lvlText w:val="Appendix %5"/>
      <w:lvlJc w:val="left"/>
      <w:pPr>
        <w:tabs>
          <w:tab w:val="num" w:pos="1008"/>
        </w:tabs>
        <w:ind w:left="1728" w:hanging="1728"/>
      </w:pPr>
      <w:rPr>
        <w:rFonts w:ascii="Arial Bold" w:hAnsi="Arial Bold" w:cs="Arial" w:hint="default"/>
        <w:b/>
        <w:i w:val="0"/>
        <w:caps w:val="0"/>
        <w:color w:val="42637A"/>
        <w:sz w:val="24"/>
        <w:szCs w:val="20"/>
      </w:rPr>
    </w:lvl>
    <w:lvl w:ilvl="5">
      <w:start w:val="1"/>
      <w:numFmt w:val="decimal"/>
      <w:lvlText w:val="%5.%6"/>
      <w:lvlJc w:val="left"/>
      <w:pPr>
        <w:tabs>
          <w:tab w:val="num" w:pos="1152"/>
        </w:tabs>
        <w:ind w:left="1152" w:hanging="1152"/>
      </w:pPr>
      <w:rPr>
        <w:rFonts w:ascii="Arial Bold" w:hAnsi="Arial Bold" w:cs="Arial" w:hint="default"/>
        <w:b/>
        <w:i w:val="0"/>
        <w:color w:val="336699"/>
        <w:sz w:val="28"/>
      </w:rPr>
    </w:lvl>
    <w:lvl w:ilvl="6">
      <w:start w:val="1"/>
      <w:numFmt w:val="decimal"/>
      <w:lvlText w:val="%5.%6.%7"/>
      <w:lvlJc w:val="left"/>
      <w:pPr>
        <w:tabs>
          <w:tab w:val="num" w:pos="1296"/>
        </w:tabs>
        <w:ind w:left="1296" w:hanging="1296"/>
      </w:pPr>
      <w:rPr>
        <w:rFonts w:ascii="Arial Bold" w:hAnsi="Arial Bold" w:cs="Arial" w:hint="default"/>
        <w:b/>
        <w:i w:val="0"/>
        <w:color w:val="336699"/>
        <w:sz w:val="24"/>
      </w:rPr>
    </w:lvl>
    <w:lvl w:ilvl="7">
      <w:start w:val="1"/>
      <w:numFmt w:val="decimal"/>
      <w:lvlText w:val="%5.%6.%7.%8"/>
      <w:lvlJc w:val="left"/>
      <w:pPr>
        <w:tabs>
          <w:tab w:val="num" w:pos="1440"/>
        </w:tabs>
        <w:ind w:left="1440" w:hanging="1080"/>
      </w:pPr>
      <w:rPr>
        <w:rFonts w:ascii="Times New Roman Bold" w:hAnsi="Times New Roman Bold" w:hint="default"/>
        <w:b/>
        <w:i w:val="0"/>
        <w:sz w:val="24"/>
      </w:rPr>
    </w:lvl>
    <w:lvl w:ilvl="8">
      <w:start w:val="1"/>
      <w:numFmt w:val="upperLetter"/>
      <w:lvlText w:val="Appendix %9"/>
      <w:lvlJc w:val="left"/>
      <w:pPr>
        <w:tabs>
          <w:tab w:val="num" w:pos="1584"/>
        </w:tabs>
        <w:ind w:left="1584" w:hanging="1584"/>
      </w:pPr>
      <w:rPr>
        <w:rFonts w:hint="default"/>
        <w:sz w:val="40"/>
      </w:rPr>
    </w:lvl>
  </w:abstractNum>
  <w:abstractNum w:abstractNumId="75" w15:restartNumberingAfterBreak="0">
    <w:nsid w:val="79835F8A"/>
    <w:multiLevelType w:val="hybridMultilevel"/>
    <w:tmpl w:val="18B2C38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B0251CC"/>
    <w:multiLevelType w:val="multilevel"/>
    <w:tmpl w:val="3B3834B8"/>
    <w:styleLink w:val="PropNumberedList"/>
    <w:lvl w:ilvl="0">
      <w:start w:val="1"/>
      <w:numFmt w:val="decimal"/>
      <w:lvlText w:val="%1."/>
      <w:lvlJc w:val="left"/>
      <w:pPr>
        <w:tabs>
          <w:tab w:val="num" w:pos="360"/>
        </w:tabs>
        <w:ind w:left="360" w:hanging="360"/>
      </w:pPr>
      <w:rPr>
        <w:rFonts w:ascii="Times New Roman" w:hAnsi="Times New Roman" w:hint="default"/>
        <w:sz w:val="24"/>
      </w:rPr>
    </w:lvl>
    <w:lvl w:ilvl="1">
      <w:start w:val="1"/>
      <w:numFmt w:val="lowerLetter"/>
      <w:lvlText w:val="%2."/>
      <w:lvlJc w:val="left"/>
      <w:pPr>
        <w:tabs>
          <w:tab w:val="num" w:pos="360"/>
        </w:tabs>
        <w:ind w:left="720" w:hanging="360"/>
      </w:pPr>
      <w:rPr>
        <w:rFonts w:ascii="Times New Roman" w:hAnsi="Times New Roman" w:hint="default"/>
        <w:sz w:val="24"/>
      </w:rPr>
    </w:lvl>
    <w:lvl w:ilvl="2">
      <w:start w:val="1"/>
      <w:numFmt w:val="lowerRoman"/>
      <w:lvlText w:val="%3."/>
      <w:lvlJc w:val="right"/>
      <w:pPr>
        <w:tabs>
          <w:tab w:val="num" w:pos="216"/>
        </w:tabs>
        <w:ind w:left="1152" w:hanging="216"/>
      </w:pPr>
      <w:rPr>
        <w:rFonts w:ascii="Times New Roman" w:hAnsi="Times New Roman" w:hint="default"/>
        <w:sz w:val="24"/>
      </w:rPr>
    </w:lvl>
    <w:lvl w:ilvl="3">
      <w:start w:val="1"/>
      <w:numFmt w:val="upperLetter"/>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7" w15:restartNumberingAfterBreak="0">
    <w:nsid w:val="7B0424AD"/>
    <w:multiLevelType w:val="hybridMultilevel"/>
    <w:tmpl w:val="799A6F24"/>
    <w:lvl w:ilvl="0" w:tplc="73608586">
      <w:start w:val="1"/>
      <w:numFmt w:val="decimal"/>
      <w:pStyle w:val="NoblisAppendixLevel3"/>
      <w:lvlText w:val="B.%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D305DF0"/>
    <w:multiLevelType w:val="hybridMultilevel"/>
    <w:tmpl w:val="E76235B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7ECA6C4F"/>
    <w:multiLevelType w:val="hybridMultilevel"/>
    <w:tmpl w:val="AADEA43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73441053">
    <w:abstractNumId w:val="46"/>
  </w:num>
  <w:num w:numId="2" w16cid:durableId="703679178">
    <w:abstractNumId w:val="70"/>
    <w:lvlOverride w:ilvl="0">
      <w:lvl w:ilvl="0">
        <w:start w:val="1"/>
        <w:numFmt w:val="decimal"/>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Hdbk"/>
        <w:lvlText w:val="%1.%2"/>
        <w:lvlJc w:val="left"/>
        <w:pPr>
          <w:ind w:left="576" w:hanging="576"/>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Hdbk"/>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 w16cid:durableId="1900165634">
    <w:abstractNumId w:val="34"/>
  </w:num>
  <w:num w:numId="4" w16cid:durableId="291519783">
    <w:abstractNumId w:val="9"/>
  </w:num>
  <w:num w:numId="5" w16cid:durableId="519702878">
    <w:abstractNumId w:val="7"/>
  </w:num>
  <w:num w:numId="6" w16cid:durableId="886989338">
    <w:abstractNumId w:val="6"/>
  </w:num>
  <w:num w:numId="7" w16cid:durableId="975137209">
    <w:abstractNumId w:val="5"/>
  </w:num>
  <w:num w:numId="8" w16cid:durableId="70857216">
    <w:abstractNumId w:val="4"/>
  </w:num>
  <w:num w:numId="9" w16cid:durableId="16779980">
    <w:abstractNumId w:val="8"/>
  </w:num>
  <w:num w:numId="10" w16cid:durableId="1387795390">
    <w:abstractNumId w:val="3"/>
  </w:num>
  <w:num w:numId="11" w16cid:durableId="1423138980">
    <w:abstractNumId w:val="2"/>
  </w:num>
  <w:num w:numId="12" w16cid:durableId="1227568443">
    <w:abstractNumId w:val="1"/>
  </w:num>
  <w:num w:numId="13" w16cid:durableId="391348034">
    <w:abstractNumId w:val="0"/>
  </w:num>
  <w:num w:numId="14" w16cid:durableId="771437040">
    <w:abstractNumId w:val="22"/>
  </w:num>
  <w:num w:numId="15" w16cid:durableId="825047027">
    <w:abstractNumId w:val="31"/>
  </w:num>
  <w:num w:numId="16" w16cid:durableId="111050050">
    <w:abstractNumId w:val="26"/>
  </w:num>
  <w:num w:numId="17" w16cid:durableId="982546542">
    <w:abstractNumId w:val="44"/>
  </w:num>
  <w:num w:numId="18" w16cid:durableId="1239440957">
    <w:abstractNumId w:val="67"/>
  </w:num>
  <w:num w:numId="19" w16cid:durableId="1976912764">
    <w:abstractNumId w:val="76"/>
  </w:num>
  <w:num w:numId="20" w16cid:durableId="1511338872">
    <w:abstractNumId w:val="49"/>
  </w:num>
  <w:num w:numId="21" w16cid:durableId="705452736">
    <w:abstractNumId w:val="20"/>
  </w:num>
  <w:num w:numId="22" w16cid:durableId="380830763">
    <w:abstractNumId w:val="74"/>
  </w:num>
  <w:num w:numId="23" w16cid:durableId="131603237">
    <w:abstractNumId w:val="68"/>
  </w:num>
  <w:num w:numId="24" w16cid:durableId="2043286129">
    <w:abstractNumId w:val="57"/>
  </w:num>
  <w:num w:numId="25" w16cid:durableId="1371958721">
    <w:abstractNumId w:val="33"/>
  </w:num>
  <w:num w:numId="26" w16cid:durableId="224683723">
    <w:abstractNumId w:val="65"/>
  </w:num>
  <w:num w:numId="27" w16cid:durableId="832373285">
    <w:abstractNumId w:val="50"/>
  </w:num>
  <w:num w:numId="28" w16cid:durableId="67970660">
    <w:abstractNumId w:val="21"/>
  </w:num>
  <w:num w:numId="29" w16cid:durableId="704793199">
    <w:abstractNumId w:val="73"/>
  </w:num>
  <w:num w:numId="30" w16cid:durableId="1105031699">
    <w:abstractNumId w:val="37"/>
  </w:num>
  <w:num w:numId="31" w16cid:durableId="353307864">
    <w:abstractNumId w:val="64"/>
  </w:num>
  <w:num w:numId="32" w16cid:durableId="1288974822">
    <w:abstractNumId w:val="23"/>
  </w:num>
  <w:num w:numId="33" w16cid:durableId="1488667290">
    <w:abstractNumId w:val="60"/>
  </w:num>
  <w:num w:numId="34" w16cid:durableId="1219590853">
    <w:abstractNumId w:val="72"/>
  </w:num>
  <w:num w:numId="35" w16cid:durableId="231238512">
    <w:abstractNumId w:val="32"/>
  </w:num>
  <w:num w:numId="36" w16cid:durableId="1678652490">
    <w:abstractNumId w:val="45"/>
  </w:num>
  <w:num w:numId="37" w16cid:durableId="1159420260">
    <w:abstractNumId w:val="61"/>
  </w:num>
  <w:num w:numId="38" w16cid:durableId="1232152188">
    <w:abstractNumId w:val="53"/>
  </w:num>
  <w:num w:numId="39" w16cid:durableId="682166003">
    <w:abstractNumId w:val="41"/>
  </w:num>
  <w:num w:numId="40" w16cid:durableId="1015039030">
    <w:abstractNumId w:val="54"/>
  </w:num>
  <w:num w:numId="41" w16cid:durableId="435836128">
    <w:abstractNumId w:val="40"/>
  </w:num>
  <w:num w:numId="42" w16cid:durableId="38283520">
    <w:abstractNumId w:val="38"/>
  </w:num>
  <w:num w:numId="43" w16cid:durableId="148910187">
    <w:abstractNumId w:val="78"/>
  </w:num>
  <w:num w:numId="44" w16cid:durableId="1943535674">
    <w:abstractNumId w:val="62"/>
  </w:num>
  <w:num w:numId="45" w16cid:durableId="984894824">
    <w:abstractNumId w:val="52"/>
  </w:num>
  <w:num w:numId="46" w16cid:durableId="1872499893">
    <w:abstractNumId w:val="55"/>
  </w:num>
  <w:num w:numId="47" w16cid:durableId="1861041873">
    <w:abstractNumId w:val="71"/>
  </w:num>
  <w:num w:numId="48" w16cid:durableId="1774937493">
    <w:abstractNumId w:val="42"/>
  </w:num>
  <w:num w:numId="49" w16cid:durableId="728652203">
    <w:abstractNumId w:val="43"/>
  </w:num>
  <w:num w:numId="50" w16cid:durableId="68356456">
    <w:abstractNumId w:val="19"/>
  </w:num>
  <w:num w:numId="51" w16cid:durableId="983389106">
    <w:abstractNumId w:val="47"/>
  </w:num>
  <w:num w:numId="52" w16cid:durableId="11685255">
    <w:abstractNumId w:val="25"/>
  </w:num>
  <w:num w:numId="53" w16cid:durableId="815143178">
    <w:abstractNumId w:val="30"/>
  </w:num>
  <w:num w:numId="54" w16cid:durableId="83066244">
    <w:abstractNumId w:val="19"/>
    <w:lvlOverride w:ilvl="0">
      <w:lvl w:ilvl="0">
        <w:start w:val="1"/>
        <w:numFmt w:val="lowerLetter"/>
        <w:lvlText w:val="%1."/>
        <w:lvlJc w:val="left"/>
        <w:pPr>
          <w:ind w:left="0" w:firstLine="0"/>
        </w:pPr>
        <w:rPr>
          <w:rFonts w:hint="default"/>
        </w:rPr>
      </w:lvl>
    </w:lvlOverride>
    <w:lvlOverride w:ilvl="1">
      <w:lvl w:ilvl="1">
        <w:start w:val="1"/>
        <w:numFmt w:val="lowerRoman"/>
        <w:lvlText w:val="%2."/>
        <w:lvlJc w:val="left"/>
        <w:pPr>
          <w:ind w:left="720" w:hanging="432"/>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55" w16cid:durableId="1532451327">
    <w:abstractNumId w:val="11"/>
  </w:num>
  <w:num w:numId="56" w16cid:durableId="1800414166">
    <w:abstractNumId w:val="35"/>
  </w:num>
  <w:num w:numId="57" w16cid:durableId="1011883116">
    <w:abstractNumId w:val="47"/>
    <w:lvlOverride w:ilvl="0">
      <w:lvl w:ilvl="0">
        <w:start w:val="1"/>
        <w:numFmt w:val="lowerLetter"/>
        <w:lvlText w:val="%1."/>
        <w:lvlJc w:val="left"/>
        <w:pPr>
          <w:ind w:left="360" w:hanging="360"/>
        </w:pPr>
        <w:rPr>
          <w:rFonts w:hint="default"/>
        </w:rPr>
      </w:lvl>
    </w:lvlOverride>
    <w:lvlOverride w:ilvl="1">
      <w:lvl w:ilvl="1">
        <w:start w:val="1"/>
        <w:numFmt w:val="lowerRoman"/>
        <w:lvlText w:val="%2."/>
        <w:lvlJc w:val="left"/>
        <w:pPr>
          <w:ind w:left="1080" w:hanging="360"/>
        </w:pPr>
        <w:rPr>
          <w:rFonts w:hint="default"/>
        </w:rPr>
      </w:lvl>
    </w:lvlOverride>
    <w:lvlOverride w:ilvl="2">
      <w:lvl w:ilvl="2">
        <w:start w:val="1"/>
        <w:numFmt w:val="decimal"/>
        <w:lvlText w:val="%3."/>
        <w:lvlJc w:val="right"/>
        <w:pPr>
          <w:ind w:left="936" w:hanging="72"/>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58" w16cid:durableId="1731227500">
    <w:abstractNumId w:val="36"/>
  </w:num>
  <w:num w:numId="59" w16cid:durableId="517045728">
    <w:abstractNumId w:val="17"/>
  </w:num>
  <w:num w:numId="60" w16cid:durableId="1467502704">
    <w:abstractNumId w:val="12"/>
  </w:num>
  <w:num w:numId="61" w16cid:durableId="1835608337">
    <w:abstractNumId w:val="79"/>
  </w:num>
  <w:num w:numId="62" w16cid:durableId="2021932444">
    <w:abstractNumId w:val="51"/>
  </w:num>
  <w:num w:numId="63" w16cid:durableId="1645810925">
    <w:abstractNumId w:val="75"/>
  </w:num>
  <w:num w:numId="64" w16cid:durableId="1470519031">
    <w:abstractNumId w:val="28"/>
  </w:num>
  <w:num w:numId="65" w16cid:durableId="63721356">
    <w:abstractNumId w:val="66"/>
  </w:num>
  <w:num w:numId="66" w16cid:durableId="1699505064">
    <w:abstractNumId w:val="48"/>
  </w:num>
  <w:num w:numId="67" w16cid:durableId="2109153270">
    <w:abstractNumId w:val="56"/>
  </w:num>
  <w:num w:numId="68" w16cid:durableId="1791168417">
    <w:abstractNumId w:val="24"/>
  </w:num>
  <w:num w:numId="69" w16cid:durableId="1301807306">
    <w:abstractNumId w:val="58"/>
  </w:num>
  <w:num w:numId="70" w16cid:durableId="1443382023">
    <w:abstractNumId w:val="59"/>
  </w:num>
  <w:num w:numId="71" w16cid:durableId="871116016">
    <w:abstractNumId w:val="18"/>
  </w:num>
  <w:num w:numId="72" w16cid:durableId="1554729324">
    <w:abstractNumId w:val="70"/>
  </w:num>
  <w:num w:numId="73" w16cid:durableId="291863530">
    <w:abstractNumId w:val="27"/>
  </w:num>
  <w:num w:numId="74" w16cid:durableId="1279291431">
    <w:abstractNumId w:val="15"/>
  </w:num>
  <w:num w:numId="75" w16cid:durableId="1466585782">
    <w:abstractNumId w:val="77"/>
  </w:num>
  <w:num w:numId="76" w16cid:durableId="830828997">
    <w:abstractNumId w:val="69"/>
  </w:num>
  <w:num w:numId="77" w16cid:durableId="373046836">
    <w:abstractNumId w:val="39"/>
  </w:num>
  <w:num w:numId="78" w16cid:durableId="1884051034">
    <w:abstractNumId w:val="14"/>
  </w:num>
  <w:num w:numId="79" w16cid:durableId="1688364499">
    <w:abstractNumId w:val="1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o:colormru v:ext="edit" colors="#c4d52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10"/>
    <w:rsid w:val="00001054"/>
    <w:rsid w:val="00001B9D"/>
    <w:rsid w:val="00001F8F"/>
    <w:rsid w:val="000021FC"/>
    <w:rsid w:val="00002B87"/>
    <w:rsid w:val="00002BE3"/>
    <w:rsid w:val="0000384E"/>
    <w:rsid w:val="0000406A"/>
    <w:rsid w:val="00004439"/>
    <w:rsid w:val="00004688"/>
    <w:rsid w:val="00004925"/>
    <w:rsid w:val="00004CFC"/>
    <w:rsid w:val="00004D9A"/>
    <w:rsid w:val="000063F8"/>
    <w:rsid w:val="00006E01"/>
    <w:rsid w:val="00010056"/>
    <w:rsid w:val="0001055F"/>
    <w:rsid w:val="00010D82"/>
    <w:rsid w:val="00010FD4"/>
    <w:rsid w:val="000118F2"/>
    <w:rsid w:val="00011E0B"/>
    <w:rsid w:val="00011EEC"/>
    <w:rsid w:val="00011FAA"/>
    <w:rsid w:val="000120BF"/>
    <w:rsid w:val="000121F3"/>
    <w:rsid w:val="00012E26"/>
    <w:rsid w:val="00013403"/>
    <w:rsid w:val="00013733"/>
    <w:rsid w:val="00013BB4"/>
    <w:rsid w:val="0001448B"/>
    <w:rsid w:val="000145BC"/>
    <w:rsid w:val="00014692"/>
    <w:rsid w:val="0001497E"/>
    <w:rsid w:val="00015270"/>
    <w:rsid w:val="000155F8"/>
    <w:rsid w:val="00015AF2"/>
    <w:rsid w:val="0001626F"/>
    <w:rsid w:val="00016338"/>
    <w:rsid w:val="0001666D"/>
    <w:rsid w:val="0001670A"/>
    <w:rsid w:val="0001691A"/>
    <w:rsid w:val="0001696E"/>
    <w:rsid w:val="00016C37"/>
    <w:rsid w:val="00017185"/>
    <w:rsid w:val="00020EC6"/>
    <w:rsid w:val="000212DF"/>
    <w:rsid w:val="00021862"/>
    <w:rsid w:val="00021E9A"/>
    <w:rsid w:val="00022A30"/>
    <w:rsid w:val="000231A8"/>
    <w:rsid w:val="000232F1"/>
    <w:rsid w:val="00023575"/>
    <w:rsid w:val="00023C36"/>
    <w:rsid w:val="0002592F"/>
    <w:rsid w:val="00025BFA"/>
    <w:rsid w:val="00026691"/>
    <w:rsid w:val="000267BE"/>
    <w:rsid w:val="000268A7"/>
    <w:rsid w:val="0002693F"/>
    <w:rsid w:val="00026D53"/>
    <w:rsid w:val="000274D8"/>
    <w:rsid w:val="00027B49"/>
    <w:rsid w:val="00027C8C"/>
    <w:rsid w:val="00030DAF"/>
    <w:rsid w:val="000310C8"/>
    <w:rsid w:val="00031B89"/>
    <w:rsid w:val="00031E28"/>
    <w:rsid w:val="000320D6"/>
    <w:rsid w:val="000328C5"/>
    <w:rsid w:val="00032AF1"/>
    <w:rsid w:val="00033505"/>
    <w:rsid w:val="0003354E"/>
    <w:rsid w:val="00033854"/>
    <w:rsid w:val="00034A76"/>
    <w:rsid w:val="0003562C"/>
    <w:rsid w:val="00035DFB"/>
    <w:rsid w:val="000363EA"/>
    <w:rsid w:val="00036A40"/>
    <w:rsid w:val="00036BDB"/>
    <w:rsid w:val="0003743C"/>
    <w:rsid w:val="00040180"/>
    <w:rsid w:val="00040F3E"/>
    <w:rsid w:val="00041000"/>
    <w:rsid w:val="0004208E"/>
    <w:rsid w:val="00042993"/>
    <w:rsid w:val="00042F6C"/>
    <w:rsid w:val="00043CBC"/>
    <w:rsid w:val="00043E3A"/>
    <w:rsid w:val="0004417E"/>
    <w:rsid w:val="00044FA9"/>
    <w:rsid w:val="0004518C"/>
    <w:rsid w:val="00045845"/>
    <w:rsid w:val="00046214"/>
    <w:rsid w:val="00046F7A"/>
    <w:rsid w:val="00047610"/>
    <w:rsid w:val="00047BA2"/>
    <w:rsid w:val="00050D78"/>
    <w:rsid w:val="00050EA1"/>
    <w:rsid w:val="00050EC8"/>
    <w:rsid w:val="000519B2"/>
    <w:rsid w:val="00051E27"/>
    <w:rsid w:val="00052184"/>
    <w:rsid w:val="00052906"/>
    <w:rsid w:val="00052A22"/>
    <w:rsid w:val="0005313B"/>
    <w:rsid w:val="00053642"/>
    <w:rsid w:val="00053908"/>
    <w:rsid w:val="00053B6B"/>
    <w:rsid w:val="00054382"/>
    <w:rsid w:val="000551A5"/>
    <w:rsid w:val="00055EB0"/>
    <w:rsid w:val="000560BA"/>
    <w:rsid w:val="00056242"/>
    <w:rsid w:val="000563FB"/>
    <w:rsid w:val="0005668F"/>
    <w:rsid w:val="000567A5"/>
    <w:rsid w:val="00056972"/>
    <w:rsid w:val="00056D1E"/>
    <w:rsid w:val="000571CA"/>
    <w:rsid w:val="0005784A"/>
    <w:rsid w:val="0005787E"/>
    <w:rsid w:val="000609A0"/>
    <w:rsid w:val="0006114E"/>
    <w:rsid w:val="00061277"/>
    <w:rsid w:val="00061842"/>
    <w:rsid w:val="00061D94"/>
    <w:rsid w:val="00062862"/>
    <w:rsid w:val="00062915"/>
    <w:rsid w:val="000630A1"/>
    <w:rsid w:val="00063929"/>
    <w:rsid w:val="00063C13"/>
    <w:rsid w:val="00063F74"/>
    <w:rsid w:val="0006432A"/>
    <w:rsid w:val="000643FE"/>
    <w:rsid w:val="00064BAF"/>
    <w:rsid w:val="00065322"/>
    <w:rsid w:val="000656FA"/>
    <w:rsid w:val="00065A3C"/>
    <w:rsid w:val="00065C0F"/>
    <w:rsid w:val="00066B98"/>
    <w:rsid w:val="00067E3D"/>
    <w:rsid w:val="00070895"/>
    <w:rsid w:val="00070F68"/>
    <w:rsid w:val="000717C0"/>
    <w:rsid w:val="000719CC"/>
    <w:rsid w:val="00071A4D"/>
    <w:rsid w:val="0007242D"/>
    <w:rsid w:val="0007270A"/>
    <w:rsid w:val="000729AB"/>
    <w:rsid w:val="00072C7E"/>
    <w:rsid w:val="00073070"/>
    <w:rsid w:val="000747C6"/>
    <w:rsid w:val="00074C9E"/>
    <w:rsid w:val="00074D4B"/>
    <w:rsid w:val="0007541C"/>
    <w:rsid w:val="00075941"/>
    <w:rsid w:val="000759EF"/>
    <w:rsid w:val="00075F94"/>
    <w:rsid w:val="00076370"/>
    <w:rsid w:val="000768F3"/>
    <w:rsid w:val="00076A1C"/>
    <w:rsid w:val="0008041C"/>
    <w:rsid w:val="00080DD7"/>
    <w:rsid w:val="0008153B"/>
    <w:rsid w:val="00081EE5"/>
    <w:rsid w:val="00082325"/>
    <w:rsid w:val="00082545"/>
    <w:rsid w:val="0008370D"/>
    <w:rsid w:val="00083C4C"/>
    <w:rsid w:val="00084292"/>
    <w:rsid w:val="0008500D"/>
    <w:rsid w:val="0008551B"/>
    <w:rsid w:val="0008619B"/>
    <w:rsid w:val="000868C4"/>
    <w:rsid w:val="00086A3D"/>
    <w:rsid w:val="000876AE"/>
    <w:rsid w:val="0009001C"/>
    <w:rsid w:val="00090F5A"/>
    <w:rsid w:val="0009134D"/>
    <w:rsid w:val="00092583"/>
    <w:rsid w:val="00093051"/>
    <w:rsid w:val="00093392"/>
    <w:rsid w:val="00093BE8"/>
    <w:rsid w:val="00093DA8"/>
    <w:rsid w:val="000948D2"/>
    <w:rsid w:val="00094A82"/>
    <w:rsid w:val="00094EDB"/>
    <w:rsid w:val="000967D8"/>
    <w:rsid w:val="00096FCB"/>
    <w:rsid w:val="000970DE"/>
    <w:rsid w:val="0009769E"/>
    <w:rsid w:val="000A07A0"/>
    <w:rsid w:val="000A109F"/>
    <w:rsid w:val="000A11A7"/>
    <w:rsid w:val="000A1331"/>
    <w:rsid w:val="000A1768"/>
    <w:rsid w:val="000A193E"/>
    <w:rsid w:val="000A1BF9"/>
    <w:rsid w:val="000A1DBB"/>
    <w:rsid w:val="000A204B"/>
    <w:rsid w:val="000A20CA"/>
    <w:rsid w:val="000A20FC"/>
    <w:rsid w:val="000A2FAD"/>
    <w:rsid w:val="000A30E6"/>
    <w:rsid w:val="000A39BD"/>
    <w:rsid w:val="000A3C4B"/>
    <w:rsid w:val="000A4477"/>
    <w:rsid w:val="000A4723"/>
    <w:rsid w:val="000A5261"/>
    <w:rsid w:val="000A529B"/>
    <w:rsid w:val="000A5E96"/>
    <w:rsid w:val="000A621A"/>
    <w:rsid w:val="000A6548"/>
    <w:rsid w:val="000A6A35"/>
    <w:rsid w:val="000A6BEE"/>
    <w:rsid w:val="000A700C"/>
    <w:rsid w:val="000A720D"/>
    <w:rsid w:val="000A74E1"/>
    <w:rsid w:val="000A760F"/>
    <w:rsid w:val="000B09AC"/>
    <w:rsid w:val="000B1795"/>
    <w:rsid w:val="000B1856"/>
    <w:rsid w:val="000B1ABF"/>
    <w:rsid w:val="000B2309"/>
    <w:rsid w:val="000B2D2A"/>
    <w:rsid w:val="000B3CF8"/>
    <w:rsid w:val="000B3DAA"/>
    <w:rsid w:val="000B457F"/>
    <w:rsid w:val="000B480D"/>
    <w:rsid w:val="000B58EC"/>
    <w:rsid w:val="000B5D2D"/>
    <w:rsid w:val="000B66E2"/>
    <w:rsid w:val="000B6C29"/>
    <w:rsid w:val="000B6C3E"/>
    <w:rsid w:val="000B6F0E"/>
    <w:rsid w:val="000B708C"/>
    <w:rsid w:val="000B78AB"/>
    <w:rsid w:val="000B7B92"/>
    <w:rsid w:val="000C03C1"/>
    <w:rsid w:val="000C0C48"/>
    <w:rsid w:val="000C0C57"/>
    <w:rsid w:val="000C0E06"/>
    <w:rsid w:val="000C1011"/>
    <w:rsid w:val="000C1841"/>
    <w:rsid w:val="000C2097"/>
    <w:rsid w:val="000C2906"/>
    <w:rsid w:val="000C2AC7"/>
    <w:rsid w:val="000C3362"/>
    <w:rsid w:val="000C3898"/>
    <w:rsid w:val="000C3E72"/>
    <w:rsid w:val="000C5023"/>
    <w:rsid w:val="000C56DB"/>
    <w:rsid w:val="000C64D9"/>
    <w:rsid w:val="000C65C6"/>
    <w:rsid w:val="000C6950"/>
    <w:rsid w:val="000C6A44"/>
    <w:rsid w:val="000C6B53"/>
    <w:rsid w:val="000C6EB9"/>
    <w:rsid w:val="000C6F76"/>
    <w:rsid w:val="000C726F"/>
    <w:rsid w:val="000D0043"/>
    <w:rsid w:val="000D06E1"/>
    <w:rsid w:val="000D122B"/>
    <w:rsid w:val="000D13DB"/>
    <w:rsid w:val="000D1466"/>
    <w:rsid w:val="000D14EB"/>
    <w:rsid w:val="000D19C3"/>
    <w:rsid w:val="000D28B0"/>
    <w:rsid w:val="000D31D3"/>
    <w:rsid w:val="000D3692"/>
    <w:rsid w:val="000D4A83"/>
    <w:rsid w:val="000D4C6F"/>
    <w:rsid w:val="000D4D62"/>
    <w:rsid w:val="000D5143"/>
    <w:rsid w:val="000D532C"/>
    <w:rsid w:val="000D5BAE"/>
    <w:rsid w:val="000D6A1C"/>
    <w:rsid w:val="000D6D35"/>
    <w:rsid w:val="000D705D"/>
    <w:rsid w:val="000D7124"/>
    <w:rsid w:val="000D757C"/>
    <w:rsid w:val="000D7755"/>
    <w:rsid w:val="000D78FC"/>
    <w:rsid w:val="000D7C7C"/>
    <w:rsid w:val="000D7E91"/>
    <w:rsid w:val="000E0417"/>
    <w:rsid w:val="000E0EA9"/>
    <w:rsid w:val="000E1446"/>
    <w:rsid w:val="000E1454"/>
    <w:rsid w:val="000E14EA"/>
    <w:rsid w:val="000E1AC2"/>
    <w:rsid w:val="000E2386"/>
    <w:rsid w:val="000E266B"/>
    <w:rsid w:val="000E2BD5"/>
    <w:rsid w:val="000E2DC6"/>
    <w:rsid w:val="000E3513"/>
    <w:rsid w:val="000E36A4"/>
    <w:rsid w:val="000E3BD1"/>
    <w:rsid w:val="000E4622"/>
    <w:rsid w:val="000E5D8B"/>
    <w:rsid w:val="000E60B2"/>
    <w:rsid w:val="000E66B8"/>
    <w:rsid w:val="000E692D"/>
    <w:rsid w:val="000E698E"/>
    <w:rsid w:val="000E760E"/>
    <w:rsid w:val="000E785D"/>
    <w:rsid w:val="000E7B24"/>
    <w:rsid w:val="000F063A"/>
    <w:rsid w:val="000F09EC"/>
    <w:rsid w:val="000F0B5A"/>
    <w:rsid w:val="000F0C6F"/>
    <w:rsid w:val="000F0CBB"/>
    <w:rsid w:val="000F0D85"/>
    <w:rsid w:val="000F0FC6"/>
    <w:rsid w:val="000F14BE"/>
    <w:rsid w:val="000F18CF"/>
    <w:rsid w:val="000F2B52"/>
    <w:rsid w:val="000F3BFD"/>
    <w:rsid w:val="000F3D72"/>
    <w:rsid w:val="000F3E60"/>
    <w:rsid w:val="000F3FF3"/>
    <w:rsid w:val="000F4358"/>
    <w:rsid w:val="000F448E"/>
    <w:rsid w:val="000F465B"/>
    <w:rsid w:val="000F4715"/>
    <w:rsid w:val="000F4B22"/>
    <w:rsid w:val="000F4C27"/>
    <w:rsid w:val="000F4EFB"/>
    <w:rsid w:val="000F524B"/>
    <w:rsid w:val="000F6531"/>
    <w:rsid w:val="000F718A"/>
    <w:rsid w:val="000F7475"/>
    <w:rsid w:val="000F7877"/>
    <w:rsid w:val="000F7964"/>
    <w:rsid w:val="000F7E85"/>
    <w:rsid w:val="000F7FCB"/>
    <w:rsid w:val="001000DB"/>
    <w:rsid w:val="0010011D"/>
    <w:rsid w:val="001005EB"/>
    <w:rsid w:val="00100E11"/>
    <w:rsid w:val="001013F2"/>
    <w:rsid w:val="001015DB"/>
    <w:rsid w:val="00101739"/>
    <w:rsid w:val="00101CFA"/>
    <w:rsid w:val="00103401"/>
    <w:rsid w:val="0010399A"/>
    <w:rsid w:val="00103EBE"/>
    <w:rsid w:val="00103F8C"/>
    <w:rsid w:val="00104D82"/>
    <w:rsid w:val="00105849"/>
    <w:rsid w:val="001065F2"/>
    <w:rsid w:val="00106889"/>
    <w:rsid w:val="001070CE"/>
    <w:rsid w:val="00107954"/>
    <w:rsid w:val="00107BBD"/>
    <w:rsid w:val="00107D97"/>
    <w:rsid w:val="00107DE2"/>
    <w:rsid w:val="00107DFA"/>
    <w:rsid w:val="00110296"/>
    <w:rsid w:val="00110BE6"/>
    <w:rsid w:val="0011184E"/>
    <w:rsid w:val="00111902"/>
    <w:rsid w:val="00111A13"/>
    <w:rsid w:val="00111DD5"/>
    <w:rsid w:val="0011200B"/>
    <w:rsid w:val="0011229A"/>
    <w:rsid w:val="0011243A"/>
    <w:rsid w:val="001125DC"/>
    <w:rsid w:val="00112601"/>
    <w:rsid w:val="001127B0"/>
    <w:rsid w:val="00112D41"/>
    <w:rsid w:val="001137A7"/>
    <w:rsid w:val="00113ABB"/>
    <w:rsid w:val="00113C0C"/>
    <w:rsid w:val="0011404B"/>
    <w:rsid w:val="0011408F"/>
    <w:rsid w:val="00114A99"/>
    <w:rsid w:val="001155CC"/>
    <w:rsid w:val="001156C1"/>
    <w:rsid w:val="001158A0"/>
    <w:rsid w:val="001159A3"/>
    <w:rsid w:val="00115DE4"/>
    <w:rsid w:val="001164B4"/>
    <w:rsid w:val="001166A1"/>
    <w:rsid w:val="00116A80"/>
    <w:rsid w:val="00116B1D"/>
    <w:rsid w:val="001175C5"/>
    <w:rsid w:val="00117B08"/>
    <w:rsid w:val="00117DC1"/>
    <w:rsid w:val="0012049E"/>
    <w:rsid w:val="0012056E"/>
    <w:rsid w:val="001209C4"/>
    <w:rsid w:val="0012117B"/>
    <w:rsid w:val="00121571"/>
    <w:rsid w:val="001216C9"/>
    <w:rsid w:val="001219A6"/>
    <w:rsid w:val="00121F73"/>
    <w:rsid w:val="00122A3B"/>
    <w:rsid w:val="00122CB3"/>
    <w:rsid w:val="00122FE3"/>
    <w:rsid w:val="0012301A"/>
    <w:rsid w:val="00123165"/>
    <w:rsid w:val="00123802"/>
    <w:rsid w:val="00123B02"/>
    <w:rsid w:val="00123CDD"/>
    <w:rsid w:val="00124548"/>
    <w:rsid w:val="00124F0F"/>
    <w:rsid w:val="001253A9"/>
    <w:rsid w:val="00125DA5"/>
    <w:rsid w:val="00125E06"/>
    <w:rsid w:val="00125EFB"/>
    <w:rsid w:val="001261AC"/>
    <w:rsid w:val="00126DEB"/>
    <w:rsid w:val="00126FBA"/>
    <w:rsid w:val="00127B13"/>
    <w:rsid w:val="00127D25"/>
    <w:rsid w:val="00127FFD"/>
    <w:rsid w:val="0013010A"/>
    <w:rsid w:val="0013083B"/>
    <w:rsid w:val="001308A9"/>
    <w:rsid w:val="00130B2C"/>
    <w:rsid w:val="00130DE4"/>
    <w:rsid w:val="001324BE"/>
    <w:rsid w:val="001327A2"/>
    <w:rsid w:val="0013390D"/>
    <w:rsid w:val="001339B3"/>
    <w:rsid w:val="00133B18"/>
    <w:rsid w:val="00133CCC"/>
    <w:rsid w:val="0013464E"/>
    <w:rsid w:val="00134A5B"/>
    <w:rsid w:val="001354CE"/>
    <w:rsid w:val="00135F0F"/>
    <w:rsid w:val="00136A78"/>
    <w:rsid w:val="00137099"/>
    <w:rsid w:val="001371BE"/>
    <w:rsid w:val="001375F2"/>
    <w:rsid w:val="00137BCD"/>
    <w:rsid w:val="00140695"/>
    <w:rsid w:val="0014112B"/>
    <w:rsid w:val="001415FD"/>
    <w:rsid w:val="00142A23"/>
    <w:rsid w:val="00142CB8"/>
    <w:rsid w:val="00142D43"/>
    <w:rsid w:val="0014363D"/>
    <w:rsid w:val="0014555B"/>
    <w:rsid w:val="00145DE1"/>
    <w:rsid w:val="00146ACB"/>
    <w:rsid w:val="0014751D"/>
    <w:rsid w:val="001477EA"/>
    <w:rsid w:val="00147FE6"/>
    <w:rsid w:val="001501FE"/>
    <w:rsid w:val="00150889"/>
    <w:rsid w:val="00150E86"/>
    <w:rsid w:val="001512FF"/>
    <w:rsid w:val="001513C7"/>
    <w:rsid w:val="00151596"/>
    <w:rsid w:val="001519AF"/>
    <w:rsid w:val="00151D3B"/>
    <w:rsid w:val="001534BF"/>
    <w:rsid w:val="00153EFC"/>
    <w:rsid w:val="00153FD7"/>
    <w:rsid w:val="001544DF"/>
    <w:rsid w:val="00155696"/>
    <w:rsid w:val="001563AF"/>
    <w:rsid w:val="0015683F"/>
    <w:rsid w:val="00156A53"/>
    <w:rsid w:val="00157525"/>
    <w:rsid w:val="001577C4"/>
    <w:rsid w:val="00160061"/>
    <w:rsid w:val="0016083D"/>
    <w:rsid w:val="00160CDF"/>
    <w:rsid w:val="00160E73"/>
    <w:rsid w:val="00161525"/>
    <w:rsid w:val="00161EAF"/>
    <w:rsid w:val="00162085"/>
    <w:rsid w:val="0016283D"/>
    <w:rsid w:val="0016397D"/>
    <w:rsid w:val="0016491F"/>
    <w:rsid w:val="0016492F"/>
    <w:rsid w:val="00165445"/>
    <w:rsid w:val="001655DA"/>
    <w:rsid w:val="0016578D"/>
    <w:rsid w:val="001657E6"/>
    <w:rsid w:val="00165C8A"/>
    <w:rsid w:val="00166A4D"/>
    <w:rsid w:val="00166C4A"/>
    <w:rsid w:val="00167766"/>
    <w:rsid w:val="001703FF"/>
    <w:rsid w:val="00170825"/>
    <w:rsid w:val="00170E5D"/>
    <w:rsid w:val="001716F6"/>
    <w:rsid w:val="00171AD8"/>
    <w:rsid w:val="00171D16"/>
    <w:rsid w:val="00172183"/>
    <w:rsid w:val="00172B63"/>
    <w:rsid w:val="00172ECF"/>
    <w:rsid w:val="0017405D"/>
    <w:rsid w:val="001742A6"/>
    <w:rsid w:val="001748AF"/>
    <w:rsid w:val="00175154"/>
    <w:rsid w:val="001755D6"/>
    <w:rsid w:val="00175CC9"/>
    <w:rsid w:val="0017623F"/>
    <w:rsid w:val="00176F8E"/>
    <w:rsid w:val="001770E7"/>
    <w:rsid w:val="0017790F"/>
    <w:rsid w:val="00177AF7"/>
    <w:rsid w:val="00177FC0"/>
    <w:rsid w:val="0018022C"/>
    <w:rsid w:val="00180561"/>
    <w:rsid w:val="001805F9"/>
    <w:rsid w:val="00180766"/>
    <w:rsid w:val="00180DB3"/>
    <w:rsid w:val="00180FC7"/>
    <w:rsid w:val="00181698"/>
    <w:rsid w:val="0018227D"/>
    <w:rsid w:val="001830BA"/>
    <w:rsid w:val="001832ED"/>
    <w:rsid w:val="001835E4"/>
    <w:rsid w:val="00183E91"/>
    <w:rsid w:val="0018468D"/>
    <w:rsid w:val="00184BA4"/>
    <w:rsid w:val="00184C4B"/>
    <w:rsid w:val="00184C6A"/>
    <w:rsid w:val="001853EA"/>
    <w:rsid w:val="00185CFE"/>
    <w:rsid w:val="00186341"/>
    <w:rsid w:val="001864C9"/>
    <w:rsid w:val="001872C1"/>
    <w:rsid w:val="001877D0"/>
    <w:rsid w:val="00187EC5"/>
    <w:rsid w:val="00187F5C"/>
    <w:rsid w:val="00190DF8"/>
    <w:rsid w:val="0019102E"/>
    <w:rsid w:val="001917B4"/>
    <w:rsid w:val="00191EBD"/>
    <w:rsid w:val="00192B3E"/>
    <w:rsid w:val="001937D0"/>
    <w:rsid w:val="00193CE1"/>
    <w:rsid w:val="0019420F"/>
    <w:rsid w:val="001948FA"/>
    <w:rsid w:val="001959A4"/>
    <w:rsid w:val="001970CD"/>
    <w:rsid w:val="00197118"/>
    <w:rsid w:val="001977AB"/>
    <w:rsid w:val="00197808"/>
    <w:rsid w:val="0019799B"/>
    <w:rsid w:val="00197AC4"/>
    <w:rsid w:val="001A11AA"/>
    <w:rsid w:val="001A1FE0"/>
    <w:rsid w:val="001A2EBC"/>
    <w:rsid w:val="001A3722"/>
    <w:rsid w:val="001A3CB3"/>
    <w:rsid w:val="001A3E75"/>
    <w:rsid w:val="001A406F"/>
    <w:rsid w:val="001A453F"/>
    <w:rsid w:val="001A49CD"/>
    <w:rsid w:val="001A4EC0"/>
    <w:rsid w:val="001A4ECB"/>
    <w:rsid w:val="001A5049"/>
    <w:rsid w:val="001A522E"/>
    <w:rsid w:val="001A56AB"/>
    <w:rsid w:val="001A69E7"/>
    <w:rsid w:val="001A75BC"/>
    <w:rsid w:val="001B0B3D"/>
    <w:rsid w:val="001B1163"/>
    <w:rsid w:val="001B1364"/>
    <w:rsid w:val="001B1666"/>
    <w:rsid w:val="001B19A9"/>
    <w:rsid w:val="001B19EF"/>
    <w:rsid w:val="001B1B67"/>
    <w:rsid w:val="001B1FF1"/>
    <w:rsid w:val="001B2AF0"/>
    <w:rsid w:val="001B32C2"/>
    <w:rsid w:val="001B3EED"/>
    <w:rsid w:val="001B4110"/>
    <w:rsid w:val="001B4CAF"/>
    <w:rsid w:val="001B4D7F"/>
    <w:rsid w:val="001B4F5C"/>
    <w:rsid w:val="001B51F3"/>
    <w:rsid w:val="001B54E8"/>
    <w:rsid w:val="001B5CB5"/>
    <w:rsid w:val="001B65B8"/>
    <w:rsid w:val="001B6CC4"/>
    <w:rsid w:val="001B753B"/>
    <w:rsid w:val="001B7907"/>
    <w:rsid w:val="001B7E99"/>
    <w:rsid w:val="001C0AB1"/>
    <w:rsid w:val="001C0B56"/>
    <w:rsid w:val="001C1D80"/>
    <w:rsid w:val="001C21E8"/>
    <w:rsid w:val="001C2772"/>
    <w:rsid w:val="001C2824"/>
    <w:rsid w:val="001C2BB0"/>
    <w:rsid w:val="001C2FD5"/>
    <w:rsid w:val="001C3C51"/>
    <w:rsid w:val="001C3CC9"/>
    <w:rsid w:val="001C4A1F"/>
    <w:rsid w:val="001C4D9C"/>
    <w:rsid w:val="001C50C3"/>
    <w:rsid w:val="001C5A58"/>
    <w:rsid w:val="001C5EEA"/>
    <w:rsid w:val="001C6FC3"/>
    <w:rsid w:val="001C76A4"/>
    <w:rsid w:val="001C77DC"/>
    <w:rsid w:val="001C788A"/>
    <w:rsid w:val="001D00B8"/>
    <w:rsid w:val="001D03D7"/>
    <w:rsid w:val="001D0CDC"/>
    <w:rsid w:val="001D0DAA"/>
    <w:rsid w:val="001D126E"/>
    <w:rsid w:val="001D1832"/>
    <w:rsid w:val="001D192C"/>
    <w:rsid w:val="001D1AB8"/>
    <w:rsid w:val="001D24CB"/>
    <w:rsid w:val="001D2784"/>
    <w:rsid w:val="001D2CE7"/>
    <w:rsid w:val="001D31ED"/>
    <w:rsid w:val="001D35A4"/>
    <w:rsid w:val="001D3C40"/>
    <w:rsid w:val="001D3E09"/>
    <w:rsid w:val="001D3FFA"/>
    <w:rsid w:val="001D41E5"/>
    <w:rsid w:val="001D42BE"/>
    <w:rsid w:val="001D431A"/>
    <w:rsid w:val="001D538D"/>
    <w:rsid w:val="001D55D6"/>
    <w:rsid w:val="001D6B6E"/>
    <w:rsid w:val="001D703B"/>
    <w:rsid w:val="001D7052"/>
    <w:rsid w:val="001D71F6"/>
    <w:rsid w:val="001D755C"/>
    <w:rsid w:val="001D783C"/>
    <w:rsid w:val="001D7ACB"/>
    <w:rsid w:val="001E06DE"/>
    <w:rsid w:val="001E166A"/>
    <w:rsid w:val="001E2192"/>
    <w:rsid w:val="001E284C"/>
    <w:rsid w:val="001E340C"/>
    <w:rsid w:val="001E3432"/>
    <w:rsid w:val="001E3578"/>
    <w:rsid w:val="001E36AF"/>
    <w:rsid w:val="001E3F07"/>
    <w:rsid w:val="001E3FB7"/>
    <w:rsid w:val="001E3FF5"/>
    <w:rsid w:val="001E4043"/>
    <w:rsid w:val="001E41A6"/>
    <w:rsid w:val="001E44A4"/>
    <w:rsid w:val="001E46B4"/>
    <w:rsid w:val="001E4758"/>
    <w:rsid w:val="001E4BDC"/>
    <w:rsid w:val="001E5AB1"/>
    <w:rsid w:val="001E5B20"/>
    <w:rsid w:val="001E5E2D"/>
    <w:rsid w:val="001E6096"/>
    <w:rsid w:val="001E61A0"/>
    <w:rsid w:val="001E633C"/>
    <w:rsid w:val="001E692E"/>
    <w:rsid w:val="001E6B6F"/>
    <w:rsid w:val="001E7059"/>
    <w:rsid w:val="001E7A2C"/>
    <w:rsid w:val="001E7B5E"/>
    <w:rsid w:val="001E7D14"/>
    <w:rsid w:val="001F0085"/>
    <w:rsid w:val="001F03BD"/>
    <w:rsid w:val="001F04E5"/>
    <w:rsid w:val="001F116E"/>
    <w:rsid w:val="001F1464"/>
    <w:rsid w:val="001F156A"/>
    <w:rsid w:val="001F1732"/>
    <w:rsid w:val="001F1D2B"/>
    <w:rsid w:val="001F1E8C"/>
    <w:rsid w:val="001F24F7"/>
    <w:rsid w:val="001F289D"/>
    <w:rsid w:val="001F3386"/>
    <w:rsid w:val="001F3472"/>
    <w:rsid w:val="001F3734"/>
    <w:rsid w:val="001F391E"/>
    <w:rsid w:val="001F4098"/>
    <w:rsid w:val="001F43ED"/>
    <w:rsid w:val="001F445C"/>
    <w:rsid w:val="001F505C"/>
    <w:rsid w:val="001F5194"/>
    <w:rsid w:val="001F566C"/>
    <w:rsid w:val="001F6573"/>
    <w:rsid w:val="001F6E4A"/>
    <w:rsid w:val="001F6E71"/>
    <w:rsid w:val="001F710A"/>
    <w:rsid w:val="001F7748"/>
    <w:rsid w:val="00200522"/>
    <w:rsid w:val="00200EFA"/>
    <w:rsid w:val="0020210E"/>
    <w:rsid w:val="0020247E"/>
    <w:rsid w:val="00202DFF"/>
    <w:rsid w:val="00202FC5"/>
    <w:rsid w:val="0020328E"/>
    <w:rsid w:val="002036FE"/>
    <w:rsid w:val="00203A4A"/>
    <w:rsid w:val="00203E0D"/>
    <w:rsid w:val="00203EB7"/>
    <w:rsid w:val="00203F80"/>
    <w:rsid w:val="00203FFF"/>
    <w:rsid w:val="002040FE"/>
    <w:rsid w:val="002043FA"/>
    <w:rsid w:val="00204ADA"/>
    <w:rsid w:val="00205612"/>
    <w:rsid w:val="00205628"/>
    <w:rsid w:val="00205772"/>
    <w:rsid w:val="00205C4E"/>
    <w:rsid w:val="00205C85"/>
    <w:rsid w:val="00206351"/>
    <w:rsid w:val="002064DD"/>
    <w:rsid w:val="00206FAC"/>
    <w:rsid w:val="002102E1"/>
    <w:rsid w:val="00210997"/>
    <w:rsid w:val="00211269"/>
    <w:rsid w:val="0021140B"/>
    <w:rsid w:val="0021178B"/>
    <w:rsid w:val="002130CC"/>
    <w:rsid w:val="0021476F"/>
    <w:rsid w:val="002147DF"/>
    <w:rsid w:val="00214B64"/>
    <w:rsid w:val="0021559C"/>
    <w:rsid w:val="00215C9F"/>
    <w:rsid w:val="00215EAC"/>
    <w:rsid w:val="0021665B"/>
    <w:rsid w:val="002166EF"/>
    <w:rsid w:val="0021719A"/>
    <w:rsid w:val="00217260"/>
    <w:rsid w:val="00217758"/>
    <w:rsid w:val="00220169"/>
    <w:rsid w:val="00220565"/>
    <w:rsid w:val="002208A1"/>
    <w:rsid w:val="00221023"/>
    <w:rsid w:val="00221965"/>
    <w:rsid w:val="00221FAF"/>
    <w:rsid w:val="00221FBF"/>
    <w:rsid w:val="00222232"/>
    <w:rsid w:val="00222C3D"/>
    <w:rsid w:val="0022312E"/>
    <w:rsid w:val="00223857"/>
    <w:rsid w:val="00223FF2"/>
    <w:rsid w:val="002244DC"/>
    <w:rsid w:val="00224670"/>
    <w:rsid w:val="002247A1"/>
    <w:rsid w:val="002253D5"/>
    <w:rsid w:val="002268AB"/>
    <w:rsid w:val="00226A0A"/>
    <w:rsid w:val="00226B13"/>
    <w:rsid w:val="00226B59"/>
    <w:rsid w:val="002270E9"/>
    <w:rsid w:val="00227E9F"/>
    <w:rsid w:val="00230147"/>
    <w:rsid w:val="002314C1"/>
    <w:rsid w:val="002316C1"/>
    <w:rsid w:val="002321AE"/>
    <w:rsid w:val="002325CD"/>
    <w:rsid w:val="00232951"/>
    <w:rsid w:val="00232BFA"/>
    <w:rsid w:val="0023380F"/>
    <w:rsid w:val="0023385E"/>
    <w:rsid w:val="00233B73"/>
    <w:rsid w:val="0023460F"/>
    <w:rsid w:val="0023466B"/>
    <w:rsid w:val="00234E55"/>
    <w:rsid w:val="0023529F"/>
    <w:rsid w:val="00235423"/>
    <w:rsid w:val="00235A90"/>
    <w:rsid w:val="00235E44"/>
    <w:rsid w:val="00236CDA"/>
    <w:rsid w:val="00237734"/>
    <w:rsid w:val="00237948"/>
    <w:rsid w:val="00237DDD"/>
    <w:rsid w:val="00240B07"/>
    <w:rsid w:val="002410C1"/>
    <w:rsid w:val="0024159D"/>
    <w:rsid w:val="00241C4A"/>
    <w:rsid w:val="002423D8"/>
    <w:rsid w:val="00242529"/>
    <w:rsid w:val="0024259A"/>
    <w:rsid w:val="00243982"/>
    <w:rsid w:val="00243E65"/>
    <w:rsid w:val="002449D4"/>
    <w:rsid w:val="002450E6"/>
    <w:rsid w:val="0024548A"/>
    <w:rsid w:val="0024592E"/>
    <w:rsid w:val="0024639E"/>
    <w:rsid w:val="00246438"/>
    <w:rsid w:val="002466A5"/>
    <w:rsid w:val="002468A2"/>
    <w:rsid w:val="002469E1"/>
    <w:rsid w:val="00250140"/>
    <w:rsid w:val="00250499"/>
    <w:rsid w:val="00250CAE"/>
    <w:rsid w:val="00250F4D"/>
    <w:rsid w:val="002510F3"/>
    <w:rsid w:val="00251946"/>
    <w:rsid w:val="002536AC"/>
    <w:rsid w:val="0025383A"/>
    <w:rsid w:val="00253CEF"/>
    <w:rsid w:val="002540B2"/>
    <w:rsid w:val="0025516C"/>
    <w:rsid w:val="002554F5"/>
    <w:rsid w:val="0025766D"/>
    <w:rsid w:val="00257EFA"/>
    <w:rsid w:val="00260404"/>
    <w:rsid w:val="00260974"/>
    <w:rsid w:val="00260BE7"/>
    <w:rsid w:val="002611EE"/>
    <w:rsid w:val="00261F86"/>
    <w:rsid w:val="00262308"/>
    <w:rsid w:val="0026304C"/>
    <w:rsid w:val="002634A1"/>
    <w:rsid w:val="00263763"/>
    <w:rsid w:val="00263821"/>
    <w:rsid w:val="00264AE0"/>
    <w:rsid w:val="00265782"/>
    <w:rsid w:val="00266223"/>
    <w:rsid w:val="00266F55"/>
    <w:rsid w:val="00266FB0"/>
    <w:rsid w:val="00267156"/>
    <w:rsid w:val="00267258"/>
    <w:rsid w:val="002678E8"/>
    <w:rsid w:val="0027083F"/>
    <w:rsid w:val="00270E44"/>
    <w:rsid w:val="00271B7A"/>
    <w:rsid w:val="00271D7B"/>
    <w:rsid w:val="0027223D"/>
    <w:rsid w:val="002726DD"/>
    <w:rsid w:val="0027328A"/>
    <w:rsid w:val="002735FE"/>
    <w:rsid w:val="0027386B"/>
    <w:rsid w:val="00273A9C"/>
    <w:rsid w:val="00274146"/>
    <w:rsid w:val="00275042"/>
    <w:rsid w:val="0027525D"/>
    <w:rsid w:val="00275E22"/>
    <w:rsid w:val="00275E43"/>
    <w:rsid w:val="00276088"/>
    <w:rsid w:val="0027659F"/>
    <w:rsid w:val="0027663A"/>
    <w:rsid w:val="0027689C"/>
    <w:rsid w:val="002768F4"/>
    <w:rsid w:val="00276FE0"/>
    <w:rsid w:val="00277709"/>
    <w:rsid w:val="0028045A"/>
    <w:rsid w:val="002806F0"/>
    <w:rsid w:val="00280FBC"/>
    <w:rsid w:val="002812CE"/>
    <w:rsid w:val="00281382"/>
    <w:rsid w:val="00281CCA"/>
    <w:rsid w:val="00282043"/>
    <w:rsid w:val="00282120"/>
    <w:rsid w:val="002822F4"/>
    <w:rsid w:val="0028273E"/>
    <w:rsid w:val="002828ED"/>
    <w:rsid w:val="00282B46"/>
    <w:rsid w:val="00282B6C"/>
    <w:rsid w:val="00283159"/>
    <w:rsid w:val="002835C5"/>
    <w:rsid w:val="00284948"/>
    <w:rsid w:val="00284E39"/>
    <w:rsid w:val="00285405"/>
    <w:rsid w:val="002859AF"/>
    <w:rsid w:val="002863AB"/>
    <w:rsid w:val="00286CC7"/>
    <w:rsid w:val="00286D1B"/>
    <w:rsid w:val="00286F17"/>
    <w:rsid w:val="0028706B"/>
    <w:rsid w:val="00287514"/>
    <w:rsid w:val="002876CF"/>
    <w:rsid w:val="00287B4F"/>
    <w:rsid w:val="00287F6D"/>
    <w:rsid w:val="00290210"/>
    <w:rsid w:val="00290238"/>
    <w:rsid w:val="002902AF"/>
    <w:rsid w:val="0029038A"/>
    <w:rsid w:val="00290644"/>
    <w:rsid w:val="0029092E"/>
    <w:rsid w:val="00290C87"/>
    <w:rsid w:val="00292EA9"/>
    <w:rsid w:val="00292F07"/>
    <w:rsid w:val="00294BA4"/>
    <w:rsid w:val="00295B31"/>
    <w:rsid w:val="002962A4"/>
    <w:rsid w:val="00296F1E"/>
    <w:rsid w:val="00296FF0"/>
    <w:rsid w:val="00297282"/>
    <w:rsid w:val="0029749A"/>
    <w:rsid w:val="0029767E"/>
    <w:rsid w:val="0029770D"/>
    <w:rsid w:val="0029778C"/>
    <w:rsid w:val="00297A03"/>
    <w:rsid w:val="002A004B"/>
    <w:rsid w:val="002A03F2"/>
    <w:rsid w:val="002A0710"/>
    <w:rsid w:val="002A080D"/>
    <w:rsid w:val="002A0CD5"/>
    <w:rsid w:val="002A1EB7"/>
    <w:rsid w:val="002A26E6"/>
    <w:rsid w:val="002A2A6B"/>
    <w:rsid w:val="002A2EAA"/>
    <w:rsid w:val="002A2F54"/>
    <w:rsid w:val="002A32E6"/>
    <w:rsid w:val="002A348A"/>
    <w:rsid w:val="002A3B93"/>
    <w:rsid w:val="002A45C3"/>
    <w:rsid w:val="002A5182"/>
    <w:rsid w:val="002A525C"/>
    <w:rsid w:val="002A5661"/>
    <w:rsid w:val="002A6721"/>
    <w:rsid w:val="002A69CA"/>
    <w:rsid w:val="002A6AB4"/>
    <w:rsid w:val="002A73C4"/>
    <w:rsid w:val="002A7B60"/>
    <w:rsid w:val="002A7C40"/>
    <w:rsid w:val="002B0891"/>
    <w:rsid w:val="002B08E1"/>
    <w:rsid w:val="002B0B21"/>
    <w:rsid w:val="002B19D6"/>
    <w:rsid w:val="002B1E42"/>
    <w:rsid w:val="002B26CD"/>
    <w:rsid w:val="002B29EC"/>
    <w:rsid w:val="002B33A0"/>
    <w:rsid w:val="002B33E5"/>
    <w:rsid w:val="002B407F"/>
    <w:rsid w:val="002B4A06"/>
    <w:rsid w:val="002B4D63"/>
    <w:rsid w:val="002B5CD4"/>
    <w:rsid w:val="002B5E0D"/>
    <w:rsid w:val="002B5E3F"/>
    <w:rsid w:val="002C0941"/>
    <w:rsid w:val="002C12D8"/>
    <w:rsid w:val="002C15C9"/>
    <w:rsid w:val="002C1B28"/>
    <w:rsid w:val="002C1CE8"/>
    <w:rsid w:val="002C1E9A"/>
    <w:rsid w:val="002C1FD9"/>
    <w:rsid w:val="002C2312"/>
    <w:rsid w:val="002C260D"/>
    <w:rsid w:val="002C2933"/>
    <w:rsid w:val="002C2C28"/>
    <w:rsid w:val="002C3264"/>
    <w:rsid w:val="002C40A9"/>
    <w:rsid w:val="002C414C"/>
    <w:rsid w:val="002C4AEE"/>
    <w:rsid w:val="002C5A97"/>
    <w:rsid w:val="002C5BF8"/>
    <w:rsid w:val="002C65FC"/>
    <w:rsid w:val="002C68B3"/>
    <w:rsid w:val="002C6C09"/>
    <w:rsid w:val="002C6F83"/>
    <w:rsid w:val="002C6FCA"/>
    <w:rsid w:val="002C7347"/>
    <w:rsid w:val="002C7396"/>
    <w:rsid w:val="002C7CD9"/>
    <w:rsid w:val="002D0547"/>
    <w:rsid w:val="002D0A63"/>
    <w:rsid w:val="002D16C4"/>
    <w:rsid w:val="002D1792"/>
    <w:rsid w:val="002D182F"/>
    <w:rsid w:val="002D196A"/>
    <w:rsid w:val="002D22DB"/>
    <w:rsid w:val="002D2449"/>
    <w:rsid w:val="002D25E8"/>
    <w:rsid w:val="002D418A"/>
    <w:rsid w:val="002D4601"/>
    <w:rsid w:val="002D49EB"/>
    <w:rsid w:val="002D4C99"/>
    <w:rsid w:val="002D5373"/>
    <w:rsid w:val="002D55F2"/>
    <w:rsid w:val="002D577C"/>
    <w:rsid w:val="002D5796"/>
    <w:rsid w:val="002D5F5F"/>
    <w:rsid w:val="002D7081"/>
    <w:rsid w:val="002E01E9"/>
    <w:rsid w:val="002E09C4"/>
    <w:rsid w:val="002E1B56"/>
    <w:rsid w:val="002E1E86"/>
    <w:rsid w:val="002E35AA"/>
    <w:rsid w:val="002E3718"/>
    <w:rsid w:val="002E3994"/>
    <w:rsid w:val="002E3D77"/>
    <w:rsid w:val="002E4366"/>
    <w:rsid w:val="002E4AD2"/>
    <w:rsid w:val="002E4DC3"/>
    <w:rsid w:val="002E4F26"/>
    <w:rsid w:val="002E4FA5"/>
    <w:rsid w:val="002E5B0E"/>
    <w:rsid w:val="002E6839"/>
    <w:rsid w:val="002E6BCC"/>
    <w:rsid w:val="002E6C94"/>
    <w:rsid w:val="002E7A38"/>
    <w:rsid w:val="002E7D6B"/>
    <w:rsid w:val="002F079B"/>
    <w:rsid w:val="002F1F0E"/>
    <w:rsid w:val="002F2026"/>
    <w:rsid w:val="002F2A54"/>
    <w:rsid w:val="002F2BA2"/>
    <w:rsid w:val="002F2E19"/>
    <w:rsid w:val="002F2E58"/>
    <w:rsid w:val="002F319A"/>
    <w:rsid w:val="002F328F"/>
    <w:rsid w:val="002F430B"/>
    <w:rsid w:val="002F4F34"/>
    <w:rsid w:val="002F5A32"/>
    <w:rsid w:val="002F6184"/>
    <w:rsid w:val="002F73A4"/>
    <w:rsid w:val="002F7543"/>
    <w:rsid w:val="00300352"/>
    <w:rsid w:val="00300F2B"/>
    <w:rsid w:val="003023FB"/>
    <w:rsid w:val="00302448"/>
    <w:rsid w:val="00302837"/>
    <w:rsid w:val="00303989"/>
    <w:rsid w:val="00303C3D"/>
    <w:rsid w:val="00303EE7"/>
    <w:rsid w:val="003049BA"/>
    <w:rsid w:val="00304D56"/>
    <w:rsid w:val="00305004"/>
    <w:rsid w:val="00305430"/>
    <w:rsid w:val="003064DD"/>
    <w:rsid w:val="00306606"/>
    <w:rsid w:val="00307522"/>
    <w:rsid w:val="00307533"/>
    <w:rsid w:val="00307AEE"/>
    <w:rsid w:val="0031011B"/>
    <w:rsid w:val="00310496"/>
    <w:rsid w:val="0031064F"/>
    <w:rsid w:val="00310B5A"/>
    <w:rsid w:val="00310ED7"/>
    <w:rsid w:val="00311593"/>
    <w:rsid w:val="003117B3"/>
    <w:rsid w:val="00312294"/>
    <w:rsid w:val="00312432"/>
    <w:rsid w:val="003125AC"/>
    <w:rsid w:val="0031292C"/>
    <w:rsid w:val="00313558"/>
    <w:rsid w:val="00313904"/>
    <w:rsid w:val="00313F11"/>
    <w:rsid w:val="003149DE"/>
    <w:rsid w:val="003149E1"/>
    <w:rsid w:val="00314CFB"/>
    <w:rsid w:val="00314DD2"/>
    <w:rsid w:val="003154F6"/>
    <w:rsid w:val="00315843"/>
    <w:rsid w:val="003167D8"/>
    <w:rsid w:val="00316A6B"/>
    <w:rsid w:val="00317DDF"/>
    <w:rsid w:val="00317E84"/>
    <w:rsid w:val="0032075E"/>
    <w:rsid w:val="00320C19"/>
    <w:rsid w:val="00321158"/>
    <w:rsid w:val="00321FC1"/>
    <w:rsid w:val="003228D7"/>
    <w:rsid w:val="00323EE7"/>
    <w:rsid w:val="00324671"/>
    <w:rsid w:val="00324A94"/>
    <w:rsid w:val="00324EE1"/>
    <w:rsid w:val="00325E78"/>
    <w:rsid w:val="003260EB"/>
    <w:rsid w:val="003265A7"/>
    <w:rsid w:val="0032727C"/>
    <w:rsid w:val="0032753F"/>
    <w:rsid w:val="00327875"/>
    <w:rsid w:val="00327BDD"/>
    <w:rsid w:val="0033068A"/>
    <w:rsid w:val="003306F7"/>
    <w:rsid w:val="00330795"/>
    <w:rsid w:val="00330A06"/>
    <w:rsid w:val="00330D6D"/>
    <w:rsid w:val="0033106F"/>
    <w:rsid w:val="00332E5D"/>
    <w:rsid w:val="0033303E"/>
    <w:rsid w:val="00333469"/>
    <w:rsid w:val="00333E54"/>
    <w:rsid w:val="003347AC"/>
    <w:rsid w:val="00335068"/>
    <w:rsid w:val="00335115"/>
    <w:rsid w:val="00335287"/>
    <w:rsid w:val="003353A0"/>
    <w:rsid w:val="003358F4"/>
    <w:rsid w:val="0033652F"/>
    <w:rsid w:val="00336AF1"/>
    <w:rsid w:val="00336ED4"/>
    <w:rsid w:val="00337067"/>
    <w:rsid w:val="00337282"/>
    <w:rsid w:val="00337D8E"/>
    <w:rsid w:val="0034032D"/>
    <w:rsid w:val="003403C4"/>
    <w:rsid w:val="003408FE"/>
    <w:rsid w:val="0034098D"/>
    <w:rsid w:val="00340AD2"/>
    <w:rsid w:val="00341539"/>
    <w:rsid w:val="0034226E"/>
    <w:rsid w:val="00342711"/>
    <w:rsid w:val="00343AB4"/>
    <w:rsid w:val="0034422D"/>
    <w:rsid w:val="00344AB8"/>
    <w:rsid w:val="00344DA9"/>
    <w:rsid w:val="003454B5"/>
    <w:rsid w:val="003459C4"/>
    <w:rsid w:val="00345C23"/>
    <w:rsid w:val="00345D97"/>
    <w:rsid w:val="0034634A"/>
    <w:rsid w:val="0034795D"/>
    <w:rsid w:val="00347CE4"/>
    <w:rsid w:val="003506DC"/>
    <w:rsid w:val="00350A7B"/>
    <w:rsid w:val="00351262"/>
    <w:rsid w:val="003512D4"/>
    <w:rsid w:val="00351780"/>
    <w:rsid w:val="00351867"/>
    <w:rsid w:val="0035195A"/>
    <w:rsid w:val="00351F91"/>
    <w:rsid w:val="003523A0"/>
    <w:rsid w:val="003529C1"/>
    <w:rsid w:val="00352F13"/>
    <w:rsid w:val="00353156"/>
    <w:rsid w:val="0035344B"/>
    <w:rsid w:val="00353A80"/>
    <w:rsid w:val="00353DAF"/>
    <w:rsid w:val="00354430"/>
    <w:rsid w:val="00354B6E"/>
    <w:rsid w:val="00354EAA"/>
    <w:rsid w:val="003553E9"/>
    <w:rsid w:val="0035555F"/>
    <w:rsid w:val="00355CDD"/>
    <w:rsid w:val="0035629F"/>
    <w:rsid w:val="00356FE1"/>
    <w:rsid w:val="00357371"/>
    <w:rsid w:val="0035751E"/>
    <w:rsid w:val="003577F9"/>
    <w:rsid w:val="00361CA6"/>
    <w:rsid w:val="00361E1C"/>
    <w:rsid w:val="00362903"/>
    <w:rsid w:val="00362A72"/>
    <w:rsid w:val="00362C14"/>
    <w:rsid w:val="00363B26"/>
    <w:rsid w:val="00363C91"/>
    <w:rsid w:val="00364099"/>
    <w:rsid w:val="003642A1"/>
    <w:rsid w:val="00365655"/>
    <w:rsid w:val="003657B8"/>
    <w:rsid w:val="00365FA6"/>
    <w:rsid w:val="003662C4"/>
    <w:rsid w:val="00366304"/>
    <w:rsid w:val="0036703B"/>
    <w:rsid w:val="00367EFE"/>
    <w:rsid w:val="0037022D"/>
    <w:rsid w:val="003717D1"/>
    <w:rsid w:val="00371CD3"/>
    <w:rsid w:val="003726ED"/>
    <w:rsid w:val="00372EE9"/>
    <w:rsid w:val="003730B0"/>
    <w:rsid w:val="00373D1D"/>
    <w:rsid w:val="003745F8"/>
    <w:rsid w:val="00374866"/>
    <w:rsid w:val="00374DA2"/>
    <w:rsid w:val="003751BC"/>
    <w:rsid w:val="00375203"/>
    <w:rsid w:val="00375494"/>
    <w:rsid w:val="003756F3"/>
    <w:rsid w:val="00375B80"/>
    <w:rsid w:val="00375CA7"/>
    <w:rsid w:val="003762C4"/>
    <w:rsid w:val="0037643E"/>
    <w:rsid w:val="00377511"/>
    <w:rsid w:val="00380230"/>
    <w:rsid w:val="00380515"/>
    <w:rsid w:val="003811A0"/>
    <w:rsid w:val="003814A6"/>
    <w:rsid w:val="003820E9"/>
    <w:rsid w:val="00382173"/>
    <w:rsid w:val="00382447"/>
    <w:rsid w:val="003828C1"/>
    <w:rsid w:val="00382AB5"/>
    <w:rsid w:val="00382C9E"/>
    <w:rsid w:val="0038300E"/>
    <w:rsid w:val="0038437C"/>
    <w:rsid w:val="00384523"/>
    <w:rsid w:val="0038563C"/>
    <w:rsid w:val="0038638B"/>
    <w:rsid w:val="00386958"/>
    <w:rsid w:val="00387174"/>
    <w:rsid w:val="00387469"/>
    <w:rsid w:val="00387594"/>
    <w:rsid w:val="00387A11"/>
    <w:rsid w:val="00387C8D"/>
    <w:rsid w:val="00387F7D"/>
    <w:rsid w:val="00387FB6"/>
    <w:rsid w:val="0039028D"/>
    <w:rsid w:val="00390441"/>
    <w:rsid w:val="00391000"/>
    <w:rsid w:val="003911AE"/>
    <w:rsid w:val="00391302"/>
    <w:rsid w:val="00391D0B"/>
    <w:rsid w:val="00391EF4"/>
    <w:rsid w:val="003925F7"/>
    <w:rsid w:val="00392FD7"/>
    <w:rsid w:val="00393274"/>
    <w:rsid w:val="00393637"/>
    <w:rsid w:val="00393BA8"/>
    <w:rsid w:val="00393E9F"/>
    <w:rsid w:val="00394367"/>
    <w:rsid w:val="00394E35"/>
    <w:rsid w:val="003950B0"/>
    <w:rsid w:val="00395161"/>
    <w:rsid w:val="003958AA"/>
    <w:rsid w:val="00395B38"/>
    <w:rsid w:val="00395DDD"/>
    <w:rsid w:val="00396011"/>
    <w:rsid w:val="00396C42"/>
    <w:rsid w:val="00397992"/>
    <w:rsid w:val="003A01EF"/>
    <w:rsid w:val="003A0B29"/>
    <w:rsid w:val="003A1100"/>
    <w:rsid w:val="003A185E"/>
    <w:rsid w:val="003A19CE"/>
    <w:rsid w:val="003A2147"/>
    <w:rsid w:val="003A23B3"/>
    <w:rsid w:val="003A28E0"/>
    <w:rsid w:val="003A3B7F"/>
    <w:rsid w:val="003A3CDE"/>
    <w:rsid w:val="003A4178"/>
    <w:rsid w:val="003A49A7"/>
    <w:rsid w:val="003A56AE"/>
    <w:rsid w:val="003A5D05"/>
    <w:rsid w:val="003A60B1"/>
    <w:rsid w:val="003A6432"/>
    <w:rsid w:val="003A6570"/>
    <w:rsid w:val="003A6A69"/>
    <w:rsid w:val="003A71F7"/>
    <w:rsid w:val="003A7416"/>
    <w:rsid w:val="003A741F"/>
    <w:rsid w:val="003A7AA2"/>
    <w:rsid w:val="003A7F68"/>
    <w:rsid w:val="003B1CC7"/>
    <w:rsid w:val="003B2023"/>
    <w:rsid w:val="003B202E"/>
    <w:rsid w:val="003B233F"/>
    <w:rsid w:val="003B247E"/>
    <w:rsid w:val="003B2909"/>
    <w:rsid w:val="003B2A8E"/>
    <w:rsid w:val="003B2CF3"/>
    <w:rsid w:val="003B2EF3"/>
    <w:rsid w:val="003B349D"/>
    <w:rsid w:val="003B3CA1"/>
    <w:rsid w:val="003B405A"/>
    <w:rsid w:val="003B420D"/>
    <w:rsid w:val="003B4330"/>
    <w:rsid w:val="003B49A1"/>
    <w:rsid w:val="003B515C"/>
    <w:rsid w:val="003B58F7"/>
    <w:rsid w:val="003B59B2"/>
    <w:rsid w:val="003B600D"/>
    <w:rsid w:val="003B6481"/>
    <w:rsid w:val="003B6D40"/>
    <w:rsid w:val="003B7DAC"/>
    <w:rsid w:val="003C0465"/>
    <w:rsid w:val="003C05B9"/>
    <w:rsid w:val="003C084E"/>
    <w:rsid w:val="003C0FB4"/>
    <w:rsid w:val="003C1073"/>
    <w:rsid w:val="003C17EE"/>
    <w:rsid w:val="003C1DB7"/>
    <w:rsid w:val="003C2A05"/>
    <w:rsid w:val="003C2FDF"/>
    <w:rsid w:val="003C32D9"/>
    <w:rsid w:val="003C3856"/>
    <w:rsid w:val="003C3B0B"/>
    <w:rsid w:val="003C4514"/>
    <w:rsid w:val="003C5264"/>
    <w:rsid w:val="003C56D7"/>
    <w:rsid w:val="003C591B"/>
    <w:rsid w:val="003C5A79"/>
    <w:rsid w:val="003C64CE"/>
    <w:rsid w:val="003C6536"/>
    <w:rsid w:val="003C6FC8"/>
    <w:rsid w:val="003C705D"/>
    <w:rsid w:val="003C7432"/>
    <w:rsid w:val="003C753D"/>
    <w:rsid w:val="003C78AA"/>
    <w:rsid w:val="003C7E8A"/>
    <w:rsid w:val="003D0064"/>
    <w:rsid w:val="003D085D"/>
    <w:rsid w:val="003D0ACF"/>
    <w:rsid w:val="003D0B5C"/>
    <w:rsid w:val="003D12F4"/>
    <w:rsid w:val="003D2B86"/>
    <w:rsid w:val="003D2C16"/>
    <w:rsid w:val="003D2C23"/>
    <w:rsid w:val="003D2C2F"/>
    <w:rsid w:val="003D3AD8"/>
    <w:rsid w:val="003D5EA0"/>
    <w:rsid w:val="003D62B9"/>
    <w:rsid w:val="003D68A2"/>
    <w:rsid w:val="003D6D7D"/>
    <w:rsid w:val="003D7C26"/>
    <w:rsid w:val="003E00DA"/>
    <w:rsid w:val="003E0531"/>
    <w:rsid w:val="003E0A4D"/>
    <w:rsid w:val="003E0B7F"/>
    <w:rsid w:val="003E0C33"/>
    <w:rsid w:val="003E10B0"/>
    <w:rsid w:val="003E2011"/>
    <w:rsid w:val="003E256C"/>
    <w:rsid w:val="003E296D"/>
    <w:rsid w:val="003E29CF"/>
    <w:rsid w:val="003E2B72"/>
    <w:rsid w:val="003E2D46"/>
    <w:rsid w:val="003E2FA2"/>
    <w:rsid w:val="003E3F4F"/>
    <w:rsid w:val="003E40DE"/>
    <w:rsid w:val="003E4E97"/>
    <w:rsid w:val="003E524B"/>
    <w:rsid w:val="003E52E9"/>
    <w:rsid w:val="003E540F"/>
    <w:rsid w:val="003E5751"/>
    <w:rsid w:val="003E5998"/>
    <w:rsid w:val="003E5BAC"/>
    <w:rsid w:val="003E5CFD"/>
    <w:rsid w:val="003E5FEB"/>
    <w:rsid w:val="003E6450"/>
    <w:rsid w:val="003E6593"/>
    <w:rsid w:val="003E661A"/>
    <w:rsid w:val="003E66EC"/>
    <w:rsid w:val="003E6713"/>
    <w:rsid w:val="003E6AE1"/>
    <w:rsid w:val="003E6B52"/>
    <w:rsid w:val="003E6F78"/>
    <w:rsid w:val="003E75C9"/>
    <w:rsid w:val="003E7A67"/>
    <w:rsid w:val="003E7C0F"/>
    <w:rsid w:val="003E7F20"/>
    <w:rsid w:val="003F10EA"/>
    <w:rsid w:val="003F19E4"/>
    <w:rsid w:val="003F1B79"/>
    <w:rsid w:val="003F20C0"/>
    <w:rsid w:val="003F24A0"/>
    <w:rsid w:val="003F2782"/>
    <w:rsid w:val="003F3036"/>
    <w:rsid w:val="003F383F"/>
    <w:rsid w:val="003F3B0F"/>
    <w:rsid w:val="003F3C6A"/>
    <w:rsid w:val="003F3CE1"/>
    <w:rsid w:val="003F4C3C"/>
    <w:rsid w:val="003F4CD9"/>
    <w:rsid w:val="003F5128"/>
    <w:rsid w:val="003F5309"/>
    <w:rsid w:val="003F65D5"/>
    <w:rsid w:val="003F6F42"/>
    <w:rsid w:val="003F7A33"/>
    <w:rsid w:val="00400684"/>
    <w:rsid w:val="00400986"/>
    <w:rsid w:val="00401E89"/>
    <w:rsid w:val="00402112"/>
    <w:rsid w:val="004027D4"/>
    <w:rsid w:val="00402AC0"/>
    <w:rsid w:val="00402C35"/>
    <w:rsid w:val="00403280"/>
    <w:rsid w:val="00403B35"/>
    <w:rsid w:val="004040F7"/>
    <w:rsid w:val="004046B7"/>
    <w:rsid w:val="00404CA8"/>
    <w:rsid w:val="00404E70"/>
    <w:rsid w:val="00404E83"/>
    <w:rsid w:val="0040529D"/>
    <w:rsid w:val="0040633F"/>
    <w:rsid w:val="00406433"/>
    <w:rsid w:val="004068CB"/>
    <w:rsid w:val="00406920"/>
    <w:rsid w:val="00406C07"/>
    <w:rsid w:val="00407D9F"/>
    <w:rsid w:val="00407E14"/>
    <w:rsid w:val="00410535"/>
    <w:rsid w:val="00410A01"/>
    <w:rsid w:val="00411135"/>
    <w:rsid w:val="004111FD"/>
    <w:rsid w:val="00411294"/>
    <w:rsid w:val="004114EE"/>
    <w:rsid w:val="00411562"/>
    <w:rsid w:val="00411C7A"/>
    <w:rsid w:val="00411D03"/>
    <w:rsid w:val="00411F32"/>
    <w:rsid w:val="004121D4"/>
    <w:rsid w:val="004129CD"/>
    <w:rsid w:val="00412F03"/>
    <w:rsid w:val="00412FFA"/>
    <w:rsid w:val="00413729"/>
    <w:rsid w:val="004139B4"/>
    <w:rsid w:val="00413CBA"/>
    <w:rsid w:val="004146A4"/>
    <w:rsid w:val="00414FE3"/>
    <w:rsid w:val="00415B66"/>
    <w:rsid w:val="0041608D"/>
    <w:rsid w:val="004161FD"/>
    <w:rsid w:val="004209F0"/>
    <w:rsid w:val="00420A39"/>
    <w:rsid w:val="00420C12"/>
    <w:rsid w:val="00420D2D"/>
    <w:rsid w:val="004213F1"/>
    <w:rsid w:val="0042168F"/>
    <w:rsid w:val="00421A2B"/>
    <w:rsid w:val="004222C2"/>
    <w:rsid w:val="004224D3"/>
    <w:rsid w:val="0042278B"/>
    <w:rsid w:val="00422FA9"/>
    <w:rsid w:val="00423F5F"/>
    <w:rsid w:val="00424023"/>
    <w:rsid w:val="0042439E"/>
    <w:rsid w:val="004243AF"/>
    <w:rsid w:val="004247C0"/>
    <w:rsid w:val="00424C74"/>
    <w:rsid w:val="00424ECE"/>
    <w:rsid w:val="00424EF3"/>
    <w:rsid w:val="004250D5"/>
    <w:rsid w:val="004252B5"/>
    <w:rsid w:val="0042699E"/>
    <w:rsid w:val="00426B22"/>
    <w:rsid w:val="00426B8B"/>
    <w:rsid w:val="004278F1"/>
    <w:rsid w:val="00427D51"/>
    <w:rsid w:val="004304C5"/>
    <w:rsid w:val="004304CA"/>
    <w:rsid w:val="004305B7"/>
    <w:rsid w:val="00430E60"/>
    <w:rsid w:val="0043117C"/>
    <w:rsid w:val="004315DA"/>
    <w:rsid w:val="00431D78"/>
    <w:rsid w:val="00431DB7"/>
    <w:rsid w:val="00433021"/>
    <w:rsid w:val="0043323E"/>
    <w:rsid w:val="004344D3"/>
    <w:rsid w:val="004346E8"/>
    <w:rsid w:val="00434867"/>
    <w:rsid w:val="00434B96"/>
    <w:rsid w:val="00434CD8"/>
    <w:rsid w:val="0043592C"/>
    <w:rsid w:val="00435BBB"/>
    <w:rsid w:val="00435F1F"/>
    <w:rsid w:val="00436142"/>
    <w:rsid w:val="00436A52"/>
    <w:rsid w:val="004371AD"/>
    <w:rsid w:val="00440A49"/>
    <w:rsid w:val="00441405"/>
    <w:rsid w:val="004414CA"/>
    <w:rsid w:val="00441B0B"/>
    <w:rsid w:val="00441D00"/>
    <w:rsid w:val="00442CC9"/>
    <w:rsid w:val="004432F5"/>
    <w:rsid w:val="004433C1"/>
    <w:rsid w:val="0044483A"/>
    <w:rsid w:val="004448DF"/>
    <w:rsid w:val="00445405"/>
    <w:rsid w:val="004454CE"/>
    <w:rsid w:val="00446B8C"/>
    <w:rsid w:val="00447575"/>
    <w:rsid w:val="004476A6"/>
    <w:rsid w:val="004476C5"/>
    <w:rsid w:val="00447760"/>
    <w:rsid w:val="0044797D"/>
    <w:rsid w:val="00447A5E"/>
    <w:rsid w:val="00450A37"/>
    <w:rsid w:val="00450BD6"/>
    <w:rsid w:val="00450BFD"/>
    <w:rsid w:val="0045139D"/>
    <w:rsid w:val="00452249"/>
    <w:rsid w:val="0045254D"/>
    <w:rsid w:val="00452615"/>
    <w:rsid w:val="0045273A"/>
    <w:rsid w:val="00452EED"/>
    <w:rsid w:val="0045345C"/>
    <w:rsid w:val="00453492"/>
    <w:rsid w:val="0045372C"/>
    <w:rsid w:val="004547CF"/>
    <w:rsid w:val="00454991"/>
    <w:rsid w:val="00454BE4"/>
    <w:rsid w:val="00454E00"/>
    <w:rsid w:val="00454E60"/>
    <w:rsid w:val="004550EF"/>
    <w:rsid w:val="0045528B"/>
    <w:rsid w:val="0045541B"/>
    <w:rsid w:val="00455462"/>
    <w:rsid w:val="0045583C"/>
    <w:rsid w:val="00456671"/>
    <w:rsid w:val="00456D80"/>
    <w:rsid w:val="004573EF"/>
    <w:rsid w:val="00457602"/>
    <w:rsid w:val="00457708"/>
    <w:rsid w:val="00457D1A"/>
    <w:rsid w:val="004601D6"/>
    <w:rsid w:val="00460346"/>
    <w:rsid w:val="00460372"/>
    <w:rsid w:val="004611E7"/>
    <w:rsid w:val="004614CE"/>
    <w:rsid w:val="004614DF"/>
    <w:rsid w:val="00461605"/>
    <w:rsid w:val="00461705"/>
    <w:rsid w:val="00461B3F"/>
    <w:rsid w:val="00461B94"/>
    <w:rsid w:val="00461BE4"/>
    <w:rsid w:val="00461E31"/>
    <w:rsid w:val="00462DD9"/>
    <w:rsid w:val="004631B3"/>
    <w:rsid w:val="004632E0"/>
    <w:rsid w:val="00463C7D"/>
    <w:rsid w:val="0046473D"/>
    <w:rsid w:val="00464DC7"/>
    <w:rsid w:val="0046554D"/>
    <w:rsid w:val="00465771"/>
    <w:rsid w:val="00465978"/>
    <w:rsid w:val="0046638B"/>
    <w:rsid w:val="00466A10"/>
    <w:rsid w:val="00466C80"/>
    <w:rsid w:val="00466CB6"/>
    <w:rsid w:val="00467227"/>
    <w:rsid w:val="004676A4"/>
    <w:rsid w:val="0047013E"/>
    <w:rsid w:val="00470524"/>
    <w:rsid w:val="00470652"/>
    <w:rsid w:val="00470A13"/>
    <w:rsid w:val="00470C7B"/>
    <w:rsid w:val="00470DC2"/>
    <w:rsid w:val="004711AC"/>
    <w:rsid w:val="004711D5"/>
    <w:rsid w:val="004721A9"/>
    <w:rsid w:val="004725E8"/>
    <w:rsid w:val="00473340"/>
    <w:rsid w:val="004735F6"/>
    <w:rsid w:val="004739C3"/>
    <w:rsid w:val="00473CAD"/>
    <w:rsid w:val="00473DF3"/>
    <w:rsid w:val="00473FE3"/>
    <w:rsid w:val="004740C8"/>
    <w:rsid w:val="0047453A"/>
    <w:rsid w:val="004747E5"/>
    <w:rsid w:val="00474B92"/>
    <w:rsid w:val="00476165"/>
    <w:rsid w:val="00476192"/>
    <w:rsid w:val="00476CB4"/>
    <w:rsid w:val="00476FA9"/>
    <w:rsid w:val="00477760"/>
    <w:rsid w:val="004779E5"/>
    <w:rsid w:val="00477AEC"/>
    <w:rsid w:val="00477DDD"/>
    <w:rsid w:val="00480809"/>
    <w:rsid w:val="004817A6"/>
    <w:rsid w:val="004817B1"/>
    <w:rsid w:val="00481A93"/>
    <w:rsid w:val="00483084"/>
    <w:rsid w:val="00483F6E"/>
    <w:rsid w:val="004847B2"/>
    <w:rsid w:val="00485145"/>
    <w:rsid w:val="00485976"/>
    <w:rsid w:val="00485ABB"/>
    <w:rsid w:val="00485BEE"/>
    <w:rsid w:val="0048684B"/>
    <w:rsid w:val="00486C8F"/>
    <w:rsid w:val="00486F4D"/>
    <w:rsid w:val="004876E1"/>
    <w:rsid w:val="0048788B"/>
    <w:rsid w:val="00487EF3"/>
    <w:rsid w:val="004912AA"/>
    <w:rsid w:val="00491739"/>
    <w:rsid w:val="00491971"/>
    <w:rsid w:val="00492035"/>
    <w:rsid w:val="00492872"/>
    <w:rsid w:val="00492E88"/>
    <w:rsid w:val="00494155"/>
    <w:rsid w:val="00494672"/>
    <w:rsid w:val="00494846"/>
    <w:rsid w:val="00494B41"/>
    <w:rsid w:val="004953EB"/>
    <w:rsid w:val="0049548D"/>
    <w:rsid w:val="004957FD"/>
    <w:rsid w:val="00495B63"/>
    <w:rsid w:val="0049606D"/>
    <w:rsid w:val="00496F00"/>
    <w:rsid w:val="00496F7F"/>
    <w:rsid w:val="004976CD"/>
    <w:rsid w:val="0049781D"/>
    <w:rsid w:val="004978CE"/>
    <w:rsid w:val="004978F7"/>
    <w:rsid w:val="004A01BF"/>
    <w:rsid w:val="004A0D84"/>
    <w:rsid w:val="004A0F27"/>
    <w:rsid w:val="004A2EAE"/>
    <w:rsid w:val="004A3C20"/>
    <w:rsid w:val="004A3E1C"/>
    <w:rsid w:val="004A493A"/>
    <w:rsid w:val="004A5282"/>
    <w:rsid w:val="004A5F7E"/>
    <w:rsid w:val="004A61F4"/>
    <w:rsid w:val="004A74DE"/>
    <w:rsid w:val="004A75F1"/>
    <w:rsid w:val="004A76E2"/>
    <w:rsid w:val="004A7CE5"/>
    <w:rsid w:val="004B0035"/>
    <w:rsid w:val="004B2484"/>
    <w:rsid w:val="004B2C87"/>
    <w:rsid w:val="004B45E3"/>
    <w:rsid w:val="004B570D"/>
    <w:rsid w:val="004B5CA2"/>
    <w:rsid w:val="004B5F9C"/>
    <w:rsid w:val="004B613E"/>
    <w:rsid w:val="004B62AF"/>
    <w:rsid w:val="004B6B69"/>
    <w:rsid w:val="004B76CE"/>
    <w:rsid w:val="004B7CDD"/>
    <w:rsid w:val="004B7FB4"/>
    <w:rsid w:val="004C051E"/>
    <w:rsid w:val="004C137C"/>
    <w:rsid w:val="004C1521"/>
    <w:rsid w:val="004C1837"/>
    <w:rsid w:val="004C25A4"/>
    <w:rsid w:val="004C26D2"/>
    <w:rsid w:val="004C2917"/>
    <w:rsid w:val="004C2BA2"/>
    <w:rsid w:val="004C2CA0"/>
    <w:rsid w:val="004C38FD"/>
    <w:rsid w:val="004C3D37"/>
    <w:rsid w:val="004C3F26"/>
    <w:rsid w:val="004C47A0"/>
    <w:rsid w:val="004C485D"/>
    <w:rsid w:val="004C4B8C"/>
    <w:rsid w:val="004C4E4C"/>
    <w:rsid w:val="004C50DE"/>
    <w:rsid w:val="004C5758"/>
    <w:rsid w:val="004C5997"/>
    <w:rsid w:val="004C5D87"/>
    <w:rsid w:val="004C6401"/>
    <w:rsid w:val="004C6476"/>
    <w:rsid w:val="004C6CCF"/>
    <w:rsid w:val="004C6EA9"/>
    <w:rsid w:val="004C7D8B"/>
    <w:rsid w:val="004D0F48"/>
    <w:rsid w:val="004D1834"/>
    <w:rsid w:val="004D217F"/>
    <w:rsid w:val="004D2787"/>
    <w:rsid w:val="004D3659"/>
    <w:rsid w:val="004D3BF9"/>
    <w:rsid w:val="004D3D27"/>
    <w:rsid w:val="004D4B37"/>
    <w:rsid w:val="004D4F89"/>
    <w:rsid w:val="004D57C8"/>
    <w:rsid w:val="004D601E"/>
    <w:rsid w:val="004D6559"/>
    <w:rsid w:val="004D6B18"/>
    <w:rsid w:val="004D6D12"/>
    <w:rsid w:val="004D6D50"/>
    <w:rsid w:val="004D6E83"/>
    <w:rsid w:val="004D6FFF"/>
    <w:rsid w:val="004E08C5"/>
    <w:rsid w:val="004E09DD"/>
    <w:rsid w:val="004E1117"/>
    <w:rsid w:val="004E23E1"/>
    <w:rsid w:val="004E2F57"/>
    <w:rsid w:val="004E343E"/>
    <w:rsid w:val="004E349D"/>
    <w:rsid w:val="004E369C"/>
    <w:rsid w:val="004E3D0E"/>
    <w:rsid w:val="004E3D59"/>
    <w:rsid w:val="004E3F16"/>
    <w:rsid w:val="004E4000"/>
    <w:rsid w:val="004E41B3"/>
    <w:rsid w:val="004E443C"/>
    <w:rsid w:val="004E47DA"/>
    <w:rsid w:val="004E5AB8"/>
    <w:rsid w:val="004E662A"/>
    <w:rsid w:val="004E677D"/>
    <w:rsid w:val="004E6AC9"/>
    <w:rsid w:val="004E72E6"/>
    <w:rsid w:val="004F001E"/>
    <w:rsid w:val="004F09D6"/>
    <w:rsid w:val="004F2043"/>
    <w:rsid w:val="004F250B"/>
    <w:rsid w:val="004F4830"/>
    <w:rsid w:val="004F4A90"/>
    <w:rsid w:val="004F4AC5"/>
    <w:rsid w:val="004F55E8"/>
    <w:rsid w:val="004F58C2"/>
    <w:rsid w:val="004F5921"/>
    <w:rsid w:val="004F60F4"/>
    <w:rsid w:val="004F6583"/>
    <w:rsid w:val="004F69A2"/>
    <w:rsid w:val="004F721F"/>
    <w:rsid w:val="004F7862"/>
    <w:rsid w:val="00500112"/>
    <w:rsid w:val="00500770"/>
    <w:rsid w:val="00501213"/>
    <w:rsid w:val="00501EC5"/>
    <w:rsid w:val="005027A7"/>
    <w:rsid w:val="005029B9"/>
    <w:rsid w:val="00503260"/>
    <w:rsid w:val="00503779"/>
    <w:rsid w:val="0050382F"/>
    <w:rsid w:val="00503CFA"/>
    <w:rsid w:val="005040B6"/>
    <w:rsid w:val="00504797"/>
    <w:rsid w:val="00504DD4"/>
    <w:rsid w:val="0050507C"/>
    <w:rsid w:val="005058CC"/>
    <w:rsid w:val="005059D5"/>
    <w:rsid w:val="00505AD1"/>
    <w:rsid w:val="00505C1C"/>
    <w:rsid w:val="0050626D"/>
    <w:rsid w:val="00506629"/>
    <w:rsid w:val="00506C44"/>
    <w:rsid w:val="00506D5D"/>
    <w:rsid w:val="005075D7"/>
    <w:rsid w:val="00507722"/>
    <w:rsid w:val="00507D42"/>
    <w:rsid w:val="00507E3C"/>
    <w:rsid w:val="00510593"/>
    <w:rsid w:val="00510C8A"/>
    <w:rsid w:val="00511229"/>
    <w:rsid w:val="00511437"/>
    <w:rsid w:val="00511D50"/>
    <w:rsid w:val="005129F4"/>
    <w:rsid w:val="00512B63"/>
    <w:rsid w:val="00512C46"/>
    <w:rsid w:val="005131C6"/>
    <w:rsid w:val="00514312"/>
    <w:rsid w:val="00514364"/>
    <w:rsid w:val="00514714"/>
    <w:rsid w:val="00514AAC"/>
    <w:rsid w:val="00514F10"/>
    <w:rsid w:val="00514F54"/>
    <w:rsid w:val="00516D63"/>
    <w:rsid w:val="005170E5"/>
    <w:rsid w:val="0051764C"/>
    <w:rsid w:val="005203FA"/>
    <w:rsid w:val="0052054E"/>
    <w:rsid w:val="005214D0"/>
    <w:rsid w:val="00521B43"/>
    <w:rsid w:val="00522431"/>
    <w:rsid w:val="00522539"/>
    <w:rsid w:val="00522810"/>
    <w:rsid w:val="00522CE3"/>
    <w:rsid w:val="005231B2"/>
    <w:rsid w:val="00523253"/>
    <w:rsid w:val="005233D9"/>
    <w:rsid w:val="00523B00"/>
    <w:rsid w:val="005241EB"/>
    <w:rsid w:val="00524662"/>
    <w:rsid w:val="005248D5"/>
    <w:rsid w:val="00525208"/>
    <w:rsid w:val="00525860"/>
    <w:rsid w:val="00525933"/>
    <w:rsid w:val="00526196"/>
    <w:rsid w:val="005261A4"/>
    <w:rsid w:val="00526AC8"/>
    <w:rsid w:val="00526B88"/>
    <w:rsid w:val="005270E7"/>
    <w:rsid w:val="005275AC"/>
    <w:rsid w:val="00527778"/>
    <w:rsid w:val="00527E62"/>
    <w:rsid w:val="0053043B"/>
    <w:rsid w:val="00530DEF"/>
    <w:rsid w:val="00530E28"/>
    <w:rsid w:val="00530FD9"/>
    <w:rsid w:val="005324BC"/>
    <w:rsid w:val="00532866"/>
    <w:rsid w:val="00532DB7"/>
    <w:rsid w:val="005332B7"/>
    <w:rsid w:val="00533A94"/>
    <w:rsid w:val="00533C9E"/>
    <w:rsid w:val="00534062"/>
    <w:rsid w:val="00534203"/>
    <w:rsid w:val="00534A3E"/>
    <w:rsid w:val="00534DA0"/>
    <w:rsid w:val="00535099"/>
    <w:rsid w:val="005350BC"/>
    <w:rsid w:val="00535108"/>
    <w:rsid w:val="00535151"/>
    <w:rsid w:val="0053577C"/>
    <w:rsid w:val="0053641E"/>
    <w:rsid w:val="00536FCB"/>
    <w:rsid w:val="005373DE"/>
    <w:rsid w:val="005374BB"/>
    <w:rsid w:val="00537AC1"/>
    <w:rsid w:val="00540005"/>
    <w:rsid w:val="00540225"/>
    <w:rsid w:val="00540768"/>
    <w:rsid w:val="00540E5A"/>
    <w:rsid w:val="0054192B"/>
    <w:rsid w:val="005420FA"/>
    <w:rsid w:val="00542487"/>
    <w:rsid w:val="0054444C"/>
    <w:rsid w:val="00544B0F"/>
    <w:rsid w:val="00544E20"/>
    <w:rsid w:val="005456C9"/>
    <w:rsid w:val="0054585E"/>
    <w:rsid w:val="00545918"/>
    <w:rsid w:val="00546461"/>
    <w:rsid w:val="00546876"/>
    <w:rsid w:val="005469CF"/>
    <w:rsid w:val="00546AD0"/>
    <w:rsid w:val="00547645"/>
    <w:rsid w:val="00547ED1"/>
    <w:rsid w:val="005504DE"/>
    <w:rsid w:val="005512AB"/>
    <w:rsid w:val="00551BCD"/>
    <w:rsid w:val="00551CAA"/>
    <w:rsid w:val="005521D6"/>
    <w:rsid w:val="005526FC"/>
    <w:rsid w:val="00552BBB"/>
    <w:rsid w:val="0055317D"/>
    <w:rsid w:val="0055338C"/>
    <w:rsid w:val="00554181"/>
    <w:rsid w:val="00554BFF"/>
    <w:rsid w:val="00555427"/>
    <w:rsid w:val="00555EF3"/>
    <w:rsid w:val="00555F07"/>
    <w:rsid w:val="005566A9"/>
    <w:rsid w:val="00557906"/>
    <w:rsid w:val="00557C49"/>
    <w:rsid w:val="0056054F"/>
    <w:rsid w:val="005608EE"/>
    <w:rsid w:val="005613E3"/>
    <w:rsid w:val="00561D6E"/>
    <w:rsid w:val="00562187"/>
    <w:rsid w:val="005628E3"/>
    <w:rsid w:val="0056324E"/>
    <w:rsid w:val="00563B49"/>
    <w:rsid w:val="005652BD"/>
    <w:rsid w:val="0056562A"/>
    <w:rsid w:val="00566AE5"/>
    <w:rsid w:val="00566E00"/>
    <w:rsid w:val="00567A35"/>
    <w:rsid w:val="00570280"/>
    <w:rsid w:val="00570DB7"/>
    <w:rsid w:val="0057101C"/>
    <w:rsid w:val="00571752"/>
    <w:rsid w:val="005718E1"/>
    <w:rsid w:val="00571929"/>
    <w:rsid w:val="00571DD9"/>
    <w:rsid w:val="0057266F"/>
    <w:rsid w:val="00573131"/>
    <w:rsid w:val="00573255"/>
    <w:rsid w:val="00573FE3"/>
    <w:rsid w:val="005741CD"/>
    <w:rsid w:val="00574293"/>
    <w:rsid w:val="0057435F"/>
    <w:rsid w:val="005754E8"/>
    <w:rsid w:val="0057594A"/>
    <w:rsid w:val="00575E6C"/>
    <w:rsid w:val="00576B9E"/>
    <w:rsid w:val="005771A0"/>
    <w:rsid w:val="00577B92"/>
    <w:rsid w:val="00577DF7"/>
    <w:rsid w:val="00577F55"/>
    <w:rsid w:val="005800BB"/>
    <w:rsid w:val="0058031F"/>
    <w:rsid w:val="005808A9"/>
    <w:rsid w:val="00580980"/>
    <w:rsid w:val="00581265"/>
    <w:rsid w:val="0058275B"/>
    <w:rsid w:val="00582CC5"/>
    <w:rsid w:val="005830E2"/>
    <w:rsid w:val="005838CB"/>
    <w:rsid w:val="00584577"/>
    <w:rsid w:val="00585076"/>
    <w:rsid w:val="00585236"/>
    <w:rsid w:val="00585304"/>
    <w:rsid w:val="005853B8"/>
    <w:rsid w:val="0058558A"/>
    <w:rsid w:val="005858EA"/>
    <w:rsid w:val="005859EA"/>
    <w:rsid w:val="00585C05"/>
    <w:rsid w:val="005874A5"/>
    <w:rsid w:val="005876FF"/>
    <w:rsid w:val="0059037A"/>
    <w:rsid w:val="00590FD2"/>
    <w:rsid w:val="0059104F"/>
    <w:rsid w:val="005914B8"/>
    <w:rsid w:val="00591A6F"/>
    <w:rsid w:val="00593271"/>
    <w:rsid w:val="005934CD"/>
    <w:rsid w:val="005937AB"/>
    <w:rsid w:val="00593935"/>
    <w:rsid w:val="00594239"/>
    <w:rsid w:val="005942FA"/>
    <w:rsid w:val="0059619D"/>
    <w:rsid w:val="005963DC"/>
    <w:rsid w:val="00596750"/>
    <w:rsid w:val="005967D8"/>
    <w:rsid w:val="005975F4"/>
    <w:rsid w:val="00597970"/>
    <w:rsid w:val="005A0286"/>
    <w:rsid w:val="005A0E75"/>
    <w:rsid w:val="005A10CB"/>
    <w:rsid w:val="005A1432"/>
    <w:rsid w:val="005A1C2A"/>
    <w:rsid w:val="005A260B"/>
    <w:rsid w:val="005A38F2"/>
    <w:rsid w:val="005A3A5B"/>
    <w:rsid w:val="005A4218"/>
    <w:rsid w:val="005A4425"/>
    <w:rsid w:val="005A5B1B"/>
    <w:rsid w:val="005A5FF9"/>
    <w:rsid w:val="005A6152"/>
    <w:rsid w:val="005A62B1"/>
    <w:rsid w:val="005A67FA"/>
    <w:rsid w:val="005A6AD6"/>
    <w:rsid w:val="005A6F44"/>
    <w:rsid w:val="005A6FC6"/>
    <w:rsid w:val="005A72AC"/>
    <w:rsid w:val="005A75A3"/>
    <w:rsid w:val="005A7B4C"/>
    <w:rsid w:val="005A7CA1"/>
    <w:rsid w:val="005B019C"/>
    <w:rsid w:val="005B03B1"/>
    <w:rsid w:val="005B0578"/>
    <w:rsid w:val="005B11DF"/>
    <w:rsid w:val="005B1B0E"/>
    <w:rsid w:val="005B27CB"/>
    <w:rsid w:val="005B2B34"/>
    <w:rsid w:val="005B309F"/>
    <w:rsid w:val="005B3177"/>
    <w:rsid w:val="005B3852"/>
    <w:rsid w:val="005B3FB3"/>
    <w:rsid w:val="005B4BAA"/>
    <w:rsid w:val="005B508A"/>
    <w:rsid w:val="005B537B"/>
    <w:rsid w:val="005B59F0"/>
    <w:rsid w:val="005B5ED0"/>
    <w:rsid w:val="005B5F2B"/>
    <w:rsid w:val="005B6A02"/>
    <w:rsid w:val="005B6AA8"/>
    <w:rsid w:val="005B7048"/>
    <w:rsid w:val="005B7336"/>
    <w:rsid w:val="005B7680"/>
    <w:rsid w:val="005B7A6D"/>
    <w:rsid w:val="005B7D85"/>
    <w:rsid w:val="005B7E26"/>
    <w:rsid w:val="005B7F60"/>
    <w:rsid w:val="005B7FD4"/>
    <w:rsid w:val="005C0E7E"/>
    <w:rsid w:val="005C1387"/>
    <w:rsid w:val="005C1466"/>
    <w:rsid w:val="005C14E8"/>
    <w:rsid w:val="005C23C5"/>
    <w:rsid w:val="005C39DD"/>
    <w:rsid w:val="005C3D21"/>
    <w:rsid w:val="005C455D"/>
    <w:rsid w:val="005C4834"/>
    <w:rsid w:val="005C51AB"/>
    <w:rsid w:val="005C5393"/>
    <w:rsid w:val="005C5C46"/>
    <w:rsid w:val="005C5CBE"/>
    <w:rsid w:val="005C6610"/>
    <w:rsid w:val="005C670A"/>
    <w:rsid w:val="005C6B4D"/>
    <w:rsid w:val="005C7BD4"/>
    <w:rsid w:val="005C7DF3"/>
    <w:rsid w:val="005D0079"/>
    <w:rsid w:val="005D0AAA"/>
    <w:rsid w:val="005D0E86"/>
    <w:rsid w:val="005D0FE7"/>
    <w:rsid w:val="005D1633"/>
    <w:rsid w:val="005D1B5E"/>
    <w:rsid w:val="005D1ECD"/>
    <w:rsid w:val="005D2276"/>
    <w:rsid w:val="005D2DCF"/>
    <w:rsid w:val="005D2F38"/>
    <w:rsid w:val="005D2FF4"/>
    <w:rsid w:val="005D340B"/>
    <w:rsid w:val="005D341C"/>
    <w:rsid w:val="005D3826"/>
    <w:rsid w:val="005D42A9"/>
    <w:rsid w:val="005D45A0"/>
    <w:rsid w:val="005D5299"/>
    <w:rsid w:val="005D556B"/>
    <w:rsid w:val="005D5B09"/>
    <w:rsid w:val="005D5FD5"/>
    <w:rsid w:val="005D61E2"/>
    <w:rsid w:val="005D6556"/>
    <w:rsid w:val="005D65FB"/>
    <w:rsid w:val="005D7412"/>
    <w:rsid w:val="005D765F"/>
    <w:rsid w:val="005E01D8"/>
    <w:rsid w:val="005E0F1A"/>
    <w:rsid w:val="005E2899"/>
    <w:rsid w:val="005E3755"/>
    <w:rsid w:val="005E3B48"/>
    <w:rsid w:val="005E3C0F"/>
    <w:rsid w:val="005E4138"/>
    <w:rsid w:val="005E41F8"/>
    <w:rsid w:val="005E4BB5"/>
    <w:rsid w:val="005E59C1"/>
    <w:rsid w:val="005E5B5F"/>
    <w:rsid w:val="005E5BED"/>
    <w:rsid w:val="005E683B"/>
    <w:rsid w:val="005E6FF2"/>
    <w:rsid w:val="005E71F2"/>
    <w:rsid w:val="005E7437"/>
    <w:rsid w:val="005E7F2C"/>
    <w:rsid w:val="005E7FE8"/>
    <w:rsid w:val="005F009D"/>
    <w:rsid w:val="005F0474"/>
    <w:rsid w:val="005F14EA"/>
    <w:rsid w:val="005F15C3"/>
    <w:rsid w:val="005F20EC"/>
    <w:rsid w:val="005F215F"/>
    <w:rsid w:val="005F2174"/>
    <w:rsid w:val="005F25DF"/>
    <w:rsid w:val="005F29C7"/>
    <w:rsid w:val="005F2C83"/>
    <w:rsid w:val="005F2FF7"/>
    <w:rsid w:val="005F3795"/>
    <w:rsid w:val="005F3828"/>
    <w:rsid w:val="005F3AEE"/>
    <w:rsid w:val="005F3F78"/>
    <w:rsid w:val="005F437E"/>
    <w:rsid w:val="005F46C0"/>
    <w:rsid w:val="005F4779"/>
    <w:rsid w:val="005F48DE"/>
    <w:rsid w:val="005F4A22"/>
    <w:rsid w:val="005F4D08"/>
    <w:rsid w:val="005F505F"/>
    <w:rsid w:val="005F5367"/>
    <w:rsid w:val="005F58B5"/>
    <w:rsid w:val="005F5AEA"/>
    <w:rsid w:val="005F5C37"/>
    <w:rsid w:val="005F620C"/>
    <w:rsid w:val="005F6A98"/>
    <w:rsid w:val="005F6AC7"/>
    <w:rsid w:val="005F6DD5"/>
    <w:rsid w:val="005F6F8E"/>
    <w:rsid w:val="005F70E2"/>
    <w:rsid w:val="005F7369"/>
    <w:rsid w:val="00600186"/>
    <w:rsid w:val="00600AE9"/>
    <w:rsid w:val="00600EE4"/>
    <w:rsid w:val="006012C5"/>
    <w:rsid w:val="0060213D"/>
    <w:rsid w:val="006023CB"/>
    <w:rsid w:val="0060249C"/>
    <w:rsid w:val="00602A77"/>
    <w:rsid w:val="00602B5A"/>
    <w:rsid w:val="00602EB7"/>
    <w:rsid w:val="00603C18"/>
    <w:rsid w:val="00603C90"/>
    <w:rsid w:val="0060463B"/>
    <w:rsid w:val="00604DA7"/>
    <w:rsid w:val="00605316"/>
    <w:rsid w:val="006054DB"/>
    <w:rsid w:val="006056D9"/>
    <w:rsid w:val="00605E66"/>
    <w:rsid w:val="0060636C"/>
    <w:rsid w:val="00606B2F"/>
    <w:rsid w:val="00606CCA"/>
    <w:rsid w:val="006077DE"/>
    <w:rsid w:val="00607893"/>
    <w:rsid w:val="00607A01"/>
    <w:rsid w:val="00607A28"/>
    <w:rsid w:val="00607C22"/>
    <w:rsid w:val="00607EF4"/>
    <w:rsid w:val="00610171"/>
    <w:rsid w:val="006108EB"/>
    <w:rsid w:val="00610BE8"/>
    <w:rsid w:val="00611534"/>
    <w:rsid w:val="00611E10"/>
    <w:rsid w:val="00612229"/>
    <w:rsid w:val="0061223B"/>
    <w:rsid w:val="006131B0"/>
    <w:rsid w:val="0061362E"/>
    <w:rsid w:val="00614394"/>
    <w:rsid w:val="006147CF"/>
    <w:rsid w:val="0061698D"/>
    <w:rsid w:val="00617529"/>
    <w:rsid w:val="0062028F"/>
    <w:rsid w:val="00620BC1"/>
    <w:rsid w:val="006210C1"/>
    <w:rsid w:val="006216A9"/>
    <w:rsid w:val="00621FF9"/>
    <w:rsid w:val="00622469"/>
    <w:rsid w:val="00622A62"/>
    <w:rsid w:val="00622B43"/>
    <w:rsid w:val="006230A0"/>
    <w:rsid w:val="0062336C"/>
    <w:rsid w:val="006235B2"/>
    <w:rsid w:val="006242A5"/>
    <w:rsid w:val="006246AD"/>
    <w:rsid w:val="00624BA9"/>
    <w:rsid w:val="00624CA5"/>
    <w:rsid w:val="00625015"/>
    <w:rsid w:val="006254EA"/>
    <w:rsid w:val="00626010"/>
    <w:rsid w:val="00626765"/>
    <w:rsid w:val="006271C5"/>
    <w:rsid w:val="00627637"/>
    <w:rsid w:val="006300F5"/>
    <w:rsid w:val="006310F0"/>
    <w:rsid w:val="00631684"/>
    <w:rsid w:val="0063171E"/>
    <w:rsid w:val="00631823"/>
    <w:rsid w:val="00631A91"/>
    <w:rsid w:val="006320BE"/>
    <w:rsid w:val="00632753"/>
    <w:rsid w:val="00633261"/>
    <w:rsid w:val="0063365F"/>
    <w:rsid w:val="0063376E"/>
    <w:rsid w:val="00633772"/>
    <w:rsid w:val="0063429D"/>
    <w:rsid w:val="006353B9"/>
    <w:rsid w:val="00635FC9"/>
    <w:rsid w:val="00636501"/>
    <w:rsid w:val="00636B13"/>
    <w:rsid w:val="00637827"/>
    <w:rsid w:val="006379A2"/>
    <w:rsid w:val="00637D20"/>
    <w:rsid w:val="0064009E"/>
    <w:rsid w:val="006407F6"/>
    <w:rsid w:val="00640D40"/>
    <w:rsid w:val="00640E28"/>
    <w:rsid w:val="006427BA"/>
    <w:rsid w:val="00642ECC"/>
    <w:rsid w:val="00643021"/>
    <w:rsid w:val="00643177"/>
    <w:rsid w:val="006439F2"/>
    <w:rsid w:val="00643CD6"/>
    <w:rsid w:val="00643D5C"/>
    <w:rsid w:val="00644818"/>
    <w:rsid w:val="006449B7"/>
    <w:rsid w:val="0064569B"/>
    <w:rsid w:val="006457EA"/>
    <w:rsid w:val="00645D63"/>
    <w:rsid w:val="00645EFD"/>
    <w:rsid w:val="00646D70"/>
    <w:rsid w:val="00647409"/>
    <w:rsid w:val="00647AFC"/>
    <w:rsid w:val="00647D09"/>
    <w:rsid w:val="00647E23"/>
    <w:rsid w:val="006504F8"/>
    <w:rsid w:val="00651054"/>
    <w:rsid w:val="006512DD"/>
    <w:rsid w:val="006521A3"/>
    <w:rsid w:val="006523A6"/>
    <w:rsid w:val="00652D8A"/>
    <w:rsid w:val="00652E55"/>
    <w:rsid w:val="00652EF7"/>
    <w:rsid w:val="006532F4"/>
    <w:rsid w:val="00653A21"/>
    <w:rsid w:val="00654947"/>
    <w:rsid w:val="00654B22"/>
    <w:rsid w:val="00654F0C"/>
    <w:rsid w:val="0065636F"/>
    <w:rsid w:val="0065678E"/>
    <w:rsid w:val="006568B2"/>
    <w:rsid w:val="00656E33"/>
    <w:rsid w:val="00657149"/>
    <w:rsid w:val="006571A0"/>
    <w:rsid w:val="006572E2"/>
    <w:rsid w:val="006579B4"/>
    <w:rsid w:val="0066013A"/>
    <w:rsid w:val="00660454"/>
    <w:rsid w:val="00660B91"/>
    <w:rsid w:val="00660E0A"/>
    <w:rsid w:val="00661622"/>
    <w:rsid w:val="006619A7"/>
    <w:rsid w:val="006628DF"/>
    <w:rsid w:val="00662D33"/>
    <w:rsid w:val="006637A2"/>
    <w:rsid w:val="006648C0"/>
    <w:rsid w:val="00664A65"/>
    <w:rsid w:val="00664C80"/>
    <w:rsid w:val="006652CF"/>
    <w:rsid w:val="0066545F"/>
    <w:rsid w:val="0066546E"/>
    <w:rsid w:val="0066577E"/>
    <w:rsid w:val="00666109"/>
    <w:rsid w:val="00666760"/>
    <w:rsid w:val="00666BF5"/>
    <w:rsid w:val="00666C8B"/>
    <w:rsid w:val="00666E36"/>
    <w:rsid w:val="00666ECD"/>
    <w:rsid w:val="00667006"/>
    <w:rsid w:val="00667DFA"/>
    <w:rsid w:val="00667FDA"/>
    <w:rsid w:val="00670760"/>
    <w:rsid w:val="00670F65"/>
    <w:rsid w:val="006721CD"/>
    <w:rsid w:val="006724C6"/>
    <w:rsid w:val="006726F7"/>
    <w:rsid w:val="006728D8"/>
    <w:rsid w:val="006735AE"/>
    <w:rsid w:val="006748AC"/>
    <w:rsid w:val="00674C58"/>
    <w:rsid w:val="00676128"/>
    <w:rsid w:val="0067622A"/>
    <w:rsid w:val="00676429"/>
    <w:rsid w:val="006764A0"/>
    <w:rsid w:val="00676A2B"/>
    <w:rsid w:val="00677188"/>
    <w:rsid w:val="00677328"/>
    <w:rsid w:val="00677BFF"/>
    <w:rsid w:val="00677C37"/>
    <w:rsid w:val="00680DC3"/>
    <w:rsid w:val="00681016"/>
    <w:rsid w:val="006810F3"/>
    <w:rsid w:val="0068225C"/>
    <w:rsid w:val="0068276B"/>
    <w:rsid w:val="0068301C"/>
    <w:rsid w:val="00684C18"/>
    <w:rsid w:val="00685DDC"/>
    <w:rsid w:val="0068678C"/>
    <w:rsid w:val="00686F19"/>
    <w:rsid w:val="00687501"/>
    <w:rsid w:val="0068758A"/>
    <w:rsid w:val="00687B4C"/>
    <w:rsid w:val="006908E5"/>
    <w:rsid w:val="00690BBB"/>
    <w:rsid w:val="006913A3"/>
    <w:rsid w:val="00691782"/>
    <w:rsid w:val="00691D0C"/>
    <w:rsid w:val="00691DBD"/>
    <w:rsid w:val="00693762"/>
    <w:rsid w:val="00693825"/>
    <w:rsid w:val="006938CA"/>
    <w:rsid w:val="00693D62"/>
    <w:rsid w:val="0069411F"/>
    <w:rsid w:val="00694C63"/>
    <w:rsid w:val="00694F81"/>
    <w:rsid w:val="0069509B"/>
    <w:rsid w:val="006952F5"/>
    <w:rsid w:val="006954AF"/>
    <w:rsid w:val="006A0451"/>
    <w:rsid w:val="006A054E"/>
    <w:rsid w:val="006A1B6D"/>
    <w:rsid w:val="006A1F0E"/>
    <w:rsid w:val="006A225D"/>
    <w:rsid w:val="006A2671"/>
    <w:rsid w:val="006A2C95"/>
    <w:rsid w:val="006A2CC2"/>
    <w:rsid w:val="006A2D64"/>
    <w:rsid w:val="006A2FBC"/>
    <w:rsid w:val="006A3676"/>
    <w:rsid w:val="006A3F12"/>
    <w:rsid w:val="006A4086"/>
    <w:rsid w:val="006A44A5"/>
    <w:rsid w:val="006A4668"/>
    <w:rsid w:val="006A4B24"/>
    <w:rsid w:val="006A4DB1"/>
    <w:rsid w:val="006A51F9"/>
    <w:rsid w:val="006A521E"/>
    <w:rsid w:val="006A5CF0"/>
    <w:rsid w:val="006A622B"/>
    <w:rsid w:val="006A669E"/>
    <w:rsid w:val="006A7E5C"/>
    <w:rsid w:val="006B0013"/>
    <w:rsid w:val="006B0B5B"/>
    <w:rsid w:val="006B1389"/>
    <w:rsid w:val="006B17E6"/>
    <w:rsid w:val="006B20B3"/>
    <w:rsid w:val="006B280E"/>
    <w:rsid w:val="006B30E4"/>
    <w:rsid w:val="006B31DB"/>
    <w:rsid w:val="006B3376"/>
    <w:rsid w:val="006B3690"/>
    <w:rsid w:val="006B3957"/>
    <w:rsid w:val="006B3CC9"/>
    <w:rsid w:val="006B3CFB"/>
    <w:rsid w:val="006B3E41"/>
    <w:rsid w:val="006B4611"/>
    <w:rsid w:val="006B50AA"/>
    <w:rsid w:val="006B5352"/>
    <w:rsid w:val="006B56A2"/>
    <w:rsid w:val="006B5CCA"/>
    <w:rsid w:val="006B5D1F"/>
    <w:rsid w:val="006B5DFA"/>
    <w:rsid w:val="006B5F61"/>
    <w:rsid w:val="006B602D"/>
    <w:rsid w:val="006B619D"/>
    <w:rsid w:val="006B689E"/>
    <w:rsid w:val="006B6B9D"/>
    <w:rsid w:val="006B6C70"/>
    <w:rsid w:val="006B72F3"/>
    <w:rsid w:val="006B7418"/>
    <w:rsid w:val="006B7B30"/>
    <w:rsid w:val="006B7EF6"/>
    <w:rsid w:val="006C02ED"/>
    <w:rsid w:val="006C0C09"/>
    <w:rsid w:val="006C0FB1"/>
    <w:rsid w:val="006C1365"/>
    <w:rsid w:val="006C18CB"/>
    <w:rsid w:val="006C1B26"/>
    <w:rsid w:val="006C1B7C"/>
    <w:rsid w:val="006C2123"/>
    <w:rsid w:val="006C2EA8"/>
    <w:rsid w:val="006C2F34"/>
    <w:rsid w:val="006C3AA5"/>
    <w:rsid w:val="006C3F1C"/>
    <w:rsid w:val="006C4B1E"/>
    <w:rsid w:val="006C4F55"/>
    <w:rsid w:val="006C5443"/>
    <w:rsid w:val="006C5994"/>
    <w:rsid w:val="006C62EE"/>
    <w:rsid w:val="006C6507"/>
    <w:rsid w:val="006C69C6"/>
    <w:rsid w:val="006C72E7"/>
    <w:rsid w:val="006C7664"/>
    <w:rsid w:val="006C774C"/>
    <w:rsid w:val="006C7C94"/>
    <w:rsid w:val="006C7EC8"/>
    <w:rsid w:val="006D0181"/>
    <w:rsid w:val="006D0316"/>
    <w:rsid w:val="006D165B"/>
    <w:rsid w:val="006D1B5C"/>
    <w:rsid w:val="006D1B82"/>
    <w:rsid w:val="006D1EC6"/>
    <w:rsid w:val="006D2583"/>
    <w:rsid w:val="006D2636"/>
    <w:rsid w:val="006D26DB"/>
    <w:rsid w:val="006D2B3A"/>
    <w:rsid w:val="006D2EB9"/>
    <w:rsid w:val="006D2FDE"/>
    <w:rsid w:val="006D399B"/>
    <w:rsid w:val="006D44EF"/>
    <w:rsid w:val="006D4796"/>
    <w:rsid w:val="006D5128"/>
    <w:rsid w:val="006D53A5"/>
    <w:rsid w:val="006D56B0"/>
    <w:rsid w:val="006D5739"/>
    <w:rsid w:val="006D5CB1"/>
    <w:rsid w:val="006D610D"/>
    <w:rsid w:val="006D63C4"/>
    <w:rsid w:val="006D66B7"/>
    <w:rsid w:val="006D6AF8"/>
    <w:rsid w:val="006D6B57"/>
    <w:rsid w:val="006D70D3"/>
    <w:rsid w:val="006D7EC1"/>
    <w:rsid w:val="006E0044"/>
    <w:rsid w:val="006E05DB"/>
    <w:rsid w:val="006E0979"/>
    <w:rsid w:val="006E1FFB"/>
    <w:rsid w:val="006E2A69"/>
    <w:rsid w:val="006E36DC"/>
    <w:rsid w:val="006E3923"/>
    <w:rsid w:val="006E3948"/>
    <w:rsid w:val="006E4881"/>
    <w:rsid w:val="006E495C"/>
    <w:rsid w:val="006E4DDD"/>
    <w:rsid w:val="006E4E0A"/>
    <w:rsid w:val="006E5620"/>
    <w:rsid w:val="006E5C4F"/>
    <w:rsid w:val="006E6A6C"/>
    <w:rsid w:val="006E72CB"/>
    <w:rsid w:val="006E753A"/>
    <w:rsid w:val="006F0F60"/>
    <w:rsid w:val="006F19B9"/>
    <w:rsid w:val="006F1AA9"/>
    <w:rsid w:val="006F2CA3"/>
    <w:rsid w:val="006F2E8B"/>
    <w:rsid w:val="006F370E"/>
    <w:rsid w:val="006F37E2"/>
    <w:rsid w:val="006F3BEB"/>
    <w:rsid w:val="006F3D27"/>
    <w:rsid w:val="006F4894"/>
    <w:rsid w:val="006F5171"/>
    <w:rsid w:val="006F54D7"/>
    <w:rsid w:val="006F57E2"/>
    <w:rsid w:val="006F5A09"/>
    <w:rsid w:val="006F5A19"/>
    <w:rsid w:val="006F5C77"/>
    <w:rsid w:val="006F6274"/>
    <w:rsid w:val="006F673E"/>
    <w:rsid w:val="006F7ACD"/>
    <w:rsid w:val="006F7DAA"/>
    <w:rsid w:val="00700EF4"/>
    <w:rsid w:val="00701807"/>
    <w:rsid w:val="0070277B"/>
    <w:rsid w:val="007029AA"/>
    <w:rsid w:val="00703576"/>
    <w:rsid w:val="00703778"/>
    <w:rsid w:val="00703C38"/>
    <w:rsid w:val="0070519C"/>
    <w:rsid w:val="007062E8"/>
    <w:rsid w:val="00706F4B"/>
    <w:rsid w:val="007076D3"/>
    <w:rsid w:val="00707DD6"/>
    <w:rsid w:val="00710A77"/>
    <w:rsid w:val="0071195F"/>
    <w:rsid w:val="00711CC1"/>
    <w:rsid w:val="00712092"/>
    <w:rsid w:val="00712E5F"/>
    <w:rsid w:val="00712EC7"/>
    <w:rsid w:val="00713631"/>
    <w:rsid w:val="00713DE0"/>
    <w:rsid w:val="007142DD"/>
    <w:rsid w:val="0071586B"/>
    <w:rsid w:val="0071586E"/>
    <w:rsid w:val="00715DAC"/>
    <w:rsid w:val="00715E97"/>
    <w:rsid w:val="007160AE"/>
    <w:rsid w:val="007169E1"/>
    <w:rsid w:val="00716FA7"/>
    <w:rsid w:val="0072056A"/>
    <w:rsid w:val="00720AFB"/>
    <w:rsid w:val="00721599"/>
    <w:rsid w:val="00721F18"/>
    <w:rsid w:val="007221AF"/>
    <w:rsid w:val="00722D97"/>
    <w:rsid w:val="00722FD0"/>
    <w:rsid w:val="007233EC"/>
    <w:rsid w:val="007234CB"/>
    <w:rsid w:val="007234F8"/>
    <w:rsid w:val="00724045"/>
    <w:rsid w:val="007240C3"/>
    <w:rsid w:val="0072413B"/>
    <w:rsid w:val="00724C78"/>
    <w:rsid w:val="00724D3E"/>
    <w:rsid w:val="00724D71"/>
    <w:rsid w:val="00725FDB"/>
    <w:rsid w:val="007278D1"/>
    <w:rsid w:val="00727E4D"/>
    <w:rsid w:val="007304F7"/>
    <w:rsid w:val="007313D9"/>
    <w:rsid w:val="007315B6"/>
    <w:rsid w:val="00731D0C"/>
    <w:rsid w:val="007322FB"/>
    <w:rsid w:val="00732850"/>
    <w:rsid w:val="0073305E"/>
    <w:rsid w:val="00733112"/>
    <w:rsid w:val="00733D8F"/>
    <w:rsid w:val="007346AB"/>
    <w:rsid w:val="00734800"/>
    <w:rsid w:val="0073548A"/>
    <w:rsid w:val="00735963"/>
    <w:rsid w:val="00735AF9"/>
    <w:rsid w:val="00735BC8"/>
    <w:rsid w:val="00740B8E"/>
    <w:rsid w:val="00741212"/>
    <w:rsid w:val="0074138F"/>
    <w:rsid w:val="0074194F"/>
    <w:rsid w:val="0074224E"/>
    <w:rsid w:val="0074229A"/>
    <w:rsid w:val="007427DC"/>
    <w:rsid w:val="007428B2"/>
    <w:rsid w:val="00742A4F"/>
    <w:rsid w:val="00742C53"/>
    <w:rsid w:val="00743D9D"/>
    <w:rsid w:val="00744A6E"/>
    <w:rsid w:val="00744F61"/>
    <w:rsid w:val="0074553B"/>
    <w:rsid w:val="007455EF"/>
    <w:rsid w:val="007458CD"/>
    <w:rsid w:val="00745A6B"/>
    <w:rsid w:val="00745A8C"/>
    <w:rsid w:val="00745C3B"/>
    <w:rsid w:val="00745DE2"/>
    <w:rsid w:val="00745EC3"/>
    <w:rsid w:val="00746CC9"/>
    <w:rsid w:val="0074717D"/>
    <w:rsid w:val="007505FE"/>
    <w:rsid w:val="00750AD6"/>
    <w:rsid w:val="00751326"/>
    <w:rsid w:val="0075136C"/>
    <w:rsid w:val="007517AD"/>
    <w:rsid w:val="00751B90"/>
    <w:rsid w:val="00751E25"/>
    <w:rsid w:val="00752F33"/>
    <w:rsid w:val="0075320A"/>
    <w:rsid w:val="007532B6"/>
    <w:rsid w:val="007536DB"/>
    <w:rsid w:val="0075390D"/>
    <w:rsid w:val="00753E7B"/>
    <w:rsid w:val="00753FAA"/>
    <w:rsid w:val="00754B25"/>
    <w:rsid w:val="0075557D"/>
    <w:rsid w:val="00755BD6"/>
    <w:rsid w:val="007565D7"/>
    <w:rsid w:val="00757420"/>
    <w:rsid w:val="00760BF3"/>
    <w:rsid w:val="00761356"/>
    <w:rsid w:val="00761430"/>
    <w:rsid w:val="00762401"/>
    <w:rsid w:val="0076351D"/>
    <w:rsid w:val="00763D19"/>
    <w:rsid w:val="00764B23"/>
    <w:rsid w:val="00764C72"/>
    <w:rsid w:val="00764E20"/>
    <w:rsid w:val="00765972"/>
    <w:rsid w:val="00765BC1"/>
    <w:rsid w:val="00765D23"/>
    <w:rsid w:val="00765F52"/>
    <w:rsid w:val="007662AC"/>
    <w:rsid w:val="00767205"/>
    <w:rsid w:val="00767775"/>
    <w:rsid w:val="00767D90"/>
    <w:rsid w:val="007703F9"/>
    <w:rsid w:val="007708C1"/>
    <w:rsid w:val="00770A38"/>
    <w:rsid w:val="00770E96"/>
    <w:rsid w:val="0077159A"/>
    <w:rsid w:val="00771884"/>
    <w:rsid w:val="00771F96"/>
    <w:rsid w:val="0077237A"/>
    <w:rsid w:val="00772E02"/>
    <w:rsid w:val="00772FF7"/>
    <w:rsid w:val="00773F29"/>
    <w:rsid w:val="007741CF"/>
    <w:rsid w:val="00774C8C"/>
    <w:rsid w:val="00774F56"/>
    <w:rsid w:val="007754A1"/>
    <w:rsid w:val="00776226"/>
    <w:rsid w:val="0077641C"/>
    <w:rsid w:val="00776723"/>
    <w:rsid w:val="00776A8B"/>
    <w:rsid w:val="00776AC2"/>
    <w:rsid w:val="00776D11"/>
    <w:rsid w:val="007772FB"/>
    <w:rsid w:val="00777768"/>
    <w:rsid w:val="00777B57"/>
    <w:rsid w:val="007802A3"/>
    <w:rsid w:val="0078070A"/>
    <w:rsid w:val="007809D2"/>
    <w:rsid w:val="007811E8"/>
    <w:rsid w:val="0078210F"/>
    <w:rsid w:val="00782217"/>
    <w:rsid w:val="00782306"/>
    <w:rsid w:val="00783A63"/>
    <w:rsid w:val="00784370"/>
    <w:rsid w:val="00784918"/>
    <w:rsid w:val="00784BC9"/>
    <w:rsid w:val="00785125"/>
    <w:rsid w:val="007852DB"/>
    <w:rsid w:val="007852F1"/>
    <w:rsid w:val="00785B3E"/>
    <w:rsid w:val="00785E69"/>
    <w:rsid w:val="00785FC8"/>
    <w:rsid w:val="00786148"/>
    <w:rsid w:val="00786E40"/>
    <w:rsid w:val="0078750F"/>
    <w:rsid w:val="00787E38"/>
    <w:rsid w:val="007907A1"/>
    <w:rsid w:val="0079086D"/>
    <w:rsid w:val="00790BE1"/>
    <w:rsid w:val="00790F11"/>
    <w:rsid w:val="00790F3B"/>
    <w:rsid w:val="00790F59"/>
    <w:rsid w:val="00791DAF"/>
    <w:rsid w:val="007920EA"/>
    <w:rsid w:val="00792345"/>
    <w:rsid w:val="0079300A"/>
    <w:rsid w:val="007930ED"/>
    <w:rsid w:val="007933D2"/>
    <w:rsid w:val="0079403E"/>
    <w:rsid w:val="00794FE2"/>
    <w:rsid w:val="00795355"/>
    <w:rsid w:val="007953CD"/>
    <w:rsid w:val="0079547B"/>
    <w:rsid w:val="007954A5"/>
    <w:rsid w:val="007956A8"/>
    <w:rsid w:val="007969B4"/>
    <w:rsid w:val="00796CAB"/>
    <w:rsid w:val="00796DD2"/>
    <w:rsid w:val="007970FD"/>
    <w:rsid w:val="0079716F"/>
    <w:rsid w:val="007973C5"/>
    <w:rsid w:val="007A037E"/>
    <w:rsid w:val="007A1091"/>
    <w:rsid w:val="007A122C"/>
    <w:rsid w:val="007A186A"/>
    <w:rsid w:val="007A1871"/>
    <w:rsid w:val="007A1A25"/>
    <w:rsid w:val="007A23A5"/>
    <w:rsid w:val="007A2910"/>
    <w:rsid w:val="007A4043"/>
    <w:rsid w:val="007A482D"/>
    <w:rsid w:val="007A4AAA"/>
    <w:rsid w:val="007A4B19"/>
    <w:rsid w:val="007A5A4D"/>
    <w:rsid w:val="007A63AB"/>
    <w:rsid w:val="007A67C8"/>
    <w:rsid w:val="007A68BA"/>
    <w:rsid w:val="007A6D6D"/>
    <w:rsid w:val="007A7116"/>
    <w:rsid w:val="007A7FA0"/>
    <w:rsid w:val="007B0073"/>
    <w:rsid w:val="007B0144"/>
    <w:rsid w:val="007B0309"/>
    <w:rsid w:val="007B03E1"/>
    <w:rsid w:val="007B05E6"/>
    <w:rsid w:val="007B07F3"/>
    <w:rsid w:val="007B1616"/>
    <w:rsid w:val="007B1ABA"/>
    <w:rsid w:val="007B1C5A"/>
    <w:rsid w:val="007B1E2E"/>
    <w:rsid w:val="007B2419"/>
    <w:rsid w:val="007B2747"/>
    <w:rsid w:val="007B3116"/>
    <w:rsid w:val="007B38F8"/>
    <w:rsid w:val="007B3B98"/>
    <w:rsid w:val="007B4A02"/>
    <w:rsid w:val="007B5195"/>
    <w:rsid w:val="007B53A9"/>
    <w:rsid w:val="007B560B"/>
    <w:rsid w:val="007B5FC5"/>
    <w:rsid w:val="007B5FE3"/>
    <w:rsid w:val="007B7C60"/>
    <w:rsid w:val="007C01F4"/>
    <w:rsid w:val="007C0A01"/>
    <w:rsid w:val="007C0CEC"/>
    <w:rsid w:val="007C103A"/>
    <w:rsid w:val="007C1293"/>
    <w:rsid w:val="007C1741"/>
    <w:rsid w:val="007C174A"/>
    <w:rsid w:val="007C1A2E"/>
    <w:rsid w:val="007C1F72"/>
    <w:rsid w:val="007C2342"/>
    <w:rsid w:val="007C2771"/>
    <w:rsid w:val="007C2AE8"/>
    <w:rsid w:val="007C30AC"/>
    <w:rsid w:val="007C37B4"/>
    <w:rsid w:val="007C4019"/>
    <w:rsid w:val="007C4363"/>
    <w:rsid w:val="007C449D"/>
    <w:rsid w:val="007C4AB7"/>
    <w:rsid w:val="007C571A"/>
    <w:rsid w:val="007C586D"/>
    <w:rsid w:val="007C59D7"/>
    <w:rsid w:val="007D0969"/>
    <w:rsid w:val="007D0B5C"/>
    <w:rsid w:val="007D0FA3"/>
    <w:rsid w:val="007D1098"/>
    <w:rsid w:val="007D10F8"/>
    <w:rsid w:val="007D1182"/>
    <w:rsid w:val="007D1196"/>
    <w:rsid w:val="007D143A"/>
    <w:rsid w:val="007D1898"/>
    <w:rsid w:val="007D1E95"/>
    <w:rsid w:val="007D2103"/>
    <w:rsid w:val="007D2FB6"/>
    <w:rsid w:val="007D3314"/>
    <w:rsid w:val="007D3D3F"/>
    <w:rsid w:val="007D4157"/>
    <w:rsid w:val="007D442B"/>
    <w:rsid w:val="007D46D5"/>
    <w:rsid w:val="007D4CA7"/>
    <w:rsid w:val="007D51E8"/>
    <w:rsid w:val="007D563D"/>
    <w:rsid w:val="007D6170"/>
    <w:rsid w:val="007D6FE1"/>
    <w:rsid w:val="007D7110"/>
    <w:rsid w:val="007D77AD"/>
    <w:rsid w:val="007D7C02"/>
    <w:rsid w:val="007E08EE"/>
    <w:rsid w:val="007E09D4"/>
    <w:rsid w:val="007E0A7E"/>
    <w:rsid w:val="007E0D7B"/>
    <w:rsid w:val="007E125F"/>
    <w:rsid w:val="007E15CD"/>
    <w:rsid w:val="007E1CBA"/>
    <w:rsid w:val="007E2060"/>
    <w:rsid w:val="007E25D6"/>
    <w:rsid w:val="007E2B42"/>
    <w:rsid w:val="007E32F8"/>
    <w:rsid w:val="007E3B57"/>
    <w:rsid w:val="007E3FCF"/>
    <w:rsid w:val="007E415A"/>
    <w:rsid w:val="007E4BA8"/>
    <w:rsid w:val="007E5CED"/>
    <w:rsid w:val="007E69B0"/>
    <w:rsid w:val="007E6FE1"/>
    <w:rsid w:val="007E7F5E"/>
    <w:rsid w:val="007F072E"/>
    <w:rsid w:val="007F0D4D"/>
    <w:rsid w:val="007F15EE"/>
    <w:rsid w:val="007F18A6"/>
    <w:rsid w:val="007F1B56"/>
    <w:rsid w:val="007F2172"/>
    <w:rsid w:val="007F2992"/>
    <w:rsid w:val="007F2E5E"/>
    <w:rsid w:val="007F3905"/>
    <w:rsid w:val="007F3944"/>
    <w:rsid w:val="007F39A8"/>
    <w:rsid w:val="007F3A4D"/>
    <w:rsid w:val="007F414F"/>
    <w:rsid w:val="007F448C"/>
    <w:rsid w:val="007F4556"/>
    <w:rsid w:val="007F4C2A"/>
    <w:rsid w:val="007F4DB6"/>
    <w:rsid w:val="007F5697"/>
    <w:rsid w:val="007F58EB"/>
    <w:rsid w:val="007F5F04"/>
    <w:rsid w:val="007F6336"/>
    <w:rsid w:val="007F66A0"/>
    <w:rsid w:val="007F6A91"/>
    <w:rsid w:val="007F6BDE"/>
    <w:rsid w:val="007F75E7"/>
    <w:rsid w:val="007F7942"/>
    <w:rsid w:val="007F7C7C"/>
    <w:rsid w:val="007F7EF2"/>
    <w:rsid w:val="008008A2"/>
    <w:rsid w:val="00800FF4"/>
    <w:rsid w:val="00801061"/>
    <w:rsid w:val="00802360"/>
    <w:rsid w:val="00802412"/>
    <w:rsid w:val="008026C8"/>
    <w:rsid w:val="00803712"/>
    <w:rsid w:val="00803AAC"/>
    <w:rsid w:val="00803AFE"/>
    <w:rsid w:val="00803BBD"/>
    <w:rsid w:val="00803E31"/>
    <w:rsid w:val="00803F24"/>
    <w:rsid w:val="00804371"/>
    <w:rsid w:val="00804A3D"/>
    <w:rsid w:val="00804D7F"/>
    <w:rsid w:val="00804FE6"/>
    <w:rsid w:val="008051CB"/>
    <w:rsid w:val="00805615"/>
    <w:rsid w:val="0080581C"/>
    <w:rsid w:val="00805B2E"/>
    <w:rsid w:val="00805D3A"/>
    <w:rsid w:val="0080631C"/>
    <w:rsid w:val="008069C3"/>
    <w:rsid w:val="00807A43"/>
    <w:rsid w:val="00807F84"/>
    <w:rsid w:val="0081084E"/>
    <w:rsid w:val="008109D3"/>
    <w:rsid w:val="00810AE7"/>
    <w:rsid w:val="008113CA"/>
    <w:rsid w:val="00811E86"/>
    <w:rsid w:val="00812072"/>
    <w:rsid w:val="008136BB"/>
    <w:rsid w:val="00813AFE"/>
    <w:rsid w:val="00813B0A"/>
    <w:rsid w:val="00814A0C"/>
    <w:rsid w:val="008157CF"/>
    <w:rsid w:val="0081685E"/>
    <w:rsid w:val="00816AA2"/>
    <w:rsid w:val="008174D4"/>
    <w:rsid w:val="008179FE"/>
    <w:rsid w:val="00817F55"/>
    <w:rsid w:val="008200CC"/>
    <w:rsid w:val="008201D6"/>
    <w:rsid w:val="008204B0"/>
    <w:rsid w:val="00820AE6"/>
    <w:rsid w:val="00820CD3"/>
    <w:rsid w:val="00820F3B"/>
    <w:rsid w:val="008215D9"/>
    <w:rsid w:val="00821B4C"/>
    <w:rsid w:val="00821E14"/>
    <w:rsid w:val="00821F2E"/>
    <w:rsid w:val="00822202"/>
    <w:rsid w:val="00822860"/>
    <w:rsid w:val="00822A7A"/>
    <w:rsid w:val="0082374E"/>
    <w:rsid w:val="00823DE0"/>
    <w:rsid w:val="00823DF0"/>
    <w:rsid w:val="00823E4E"/>
    <w:rsid w:val="00824589"/>
    <w:rsid w:val="00824AA6"/>
    <w:rsid w:val="00824C05"/>
    <w:rsid w:val="008257AF"/>
    <w:rsid w:val="0082592C"/>
    <w:rsid w:val="008269B9"/>
    <w:rsid w:val="00826A2D"/>
    <w:rsid w:val="00826B28"/>
    <w:rsid w:val="00826EC9"/>
    <w:rsid w:val="0082716F"/>
    <w:rsid w:val="008276FE"/>
    <w:rsid w:val="00827A97"/>
    <w:rsid w:val="008300AD"/>
    <w:rsid w:val="008302A6"/>
    <w:rsid w:val="00830B85"/>
    <w:rsid w:val="00830BC5"/>
    <w:rsid w:val="00832A2B"/>
    <w:rsid w:val="008331E5"/>
    <w:rsid w:val="008332E2"/>
    <w:rsid w:val="008338CC"/>
    <w:rsid w:val="00834496"/>
    <w:rsid w:val="008345D9"/>
    <w:rsid w:val="00834A72"/>
    <w:rsid w:val="00834D1F"/>
    <w:rsid w:val="00834D49"/>
    <w:rsid w:val="00834FDB"/>
    <w:rsid w:val="00835473"/>
    <w:rsid w:val="0083552C"/>
    <w:rsid w:val="008364FA"/>
    <w:rsid w:val="0083651F"/>
    <w:rsid w:val="00836711"/>
    <w:rsid w:val="00837260"/>
    <w:rsid w:val="00837547"/>
    <w:rsid w:val="00837575"/>
    <w:rsid w:val="008376A3"/>
    <w:rsid w:val="00837AE9"/>
    <w:rsid w:val="00837D22"/>
    <w:rsid w:val="0084033B"/>
    <w:rsid w:val="008406B2"/>
    <w:rsid w:val="00842271"/>
    <w:rsid w:val="00842518"/>
    <w:rsid w:val="00843305"/>
    <w:rsid w:val="008433DB"/>
    <w:rsid w:val="00843CA1"/>
    <w:rsid w:val="00844037"/>
    <w:rsid w:val="008440D4"/>
    <w:rsid w:val="008440EF"/>
    <w:rsid w:val="00844276"/>
    <w:rsid w:val="00844655"/>
    <w:rsid w:val="008446AA"/>
    <w:rsid w:val="00844874"/>
    <w:rsid w:val="00844A7B"/>
    <w:rsid w:val="00845427"/>
    <w:rsid w:val="00845846"/>
    <w:rsid w:val="0084641E"/>
    <w:rsid w:val="00846A41"/>
    <w:rsid w:val="00846D99"/>
    <w:rsid w:val="00846EAD"/>
    <w:rsid w:val="00847B4A"/>
    <w:rsid w:val="00847F54"/>
    <w:rsid w:val="00850246"/>
    <w:rsid w:val="008505F9"/>
    <w:rsid w:val="00851111"/>
    <w:rsid w:val="008511D3"/>
    <w:rsid w:val="008518EE"/>
    <w:rsid w:val="00851A10"/>
    <w:rsid w:val="00851C36"/>
    <w:rsid w:val="008525AF"/>
    <w:rsid w:val="00852A52"/>
    <w:rsid w:val="008541A9"/>
    <w:rsid w:val="00854B7B"/>
    <w:rsid w:val="00854E93"/>
    <w:rsid w:val="00855674"/>
    <w:rsid w:val="00856396"/>
    <w:rsid w:val="008563EB"/>
    <w:rsid w:val="008568DE"/>
    <w:rsid w:val="00857C5E"/>
    <w:rsid w:val="0086010C"/>
    <w:rsid w:val="008603A9"/>
    <w:rsid w:val="008604B0"/>
    <w:rsid w:val="008609BA"/>
    <w:rsid w:val="00860BDB"/>
    <w:rsid w:val="00861002"/>
    <w:rsid w:val="00861363"/>
    <w:rsid w:val="00861D3F"/>
    <w:rsid w:val="00861E20"/>
    <w:rsid w:val="00862282"/>
    <w:rsid w:val="008622EF"/>
    <w:rsid w:val="008623F8"/>
    <w:rsid w:val="008624A3"/>
    <w:rsid w:val="008626CD"/>
    <w:rsid w:val="008627DE"/>
    <w:rsid w:val="0086338A"/>
    <w:rsid w:val="00863418"/>
    <w:rsid w:val="008636F8"/>
    <w:rsid w:val="00863B48"/>
    <w:rsid w:val="008644A9"/>
    <w:rsid w:val="0086475E"/>
    <w:rsid w:val="00864C28"/>
    <w:rsid w:val="00864CDE"/>
    <w:rsid w:val="00864DCE"/>
    <w:rsid w:val="00865CC5"/>
    <w:rsid w:val="008660AC"/>
    <w:rsid w:val="00866107"/>
    <w:rsid w:val="0086634A"/>
    <w:rsid w:val="0086635B"/>
    <w:rsid w:val="008664A6"/>
    <w:rsid w:val="00866686"/>
    <w:rsid w:val="0086709F"/>
    <w:rsid w:val="00867387"/>
    <w:rsid w:val="008675D1"/>
    <w:rsid w:val="00867709"/>
    <w:rsid w:val="00867BE2"/>
    <w:rsid w:val="00870781"/>
    <w:rsid w:val="00870897"/>
    <w:rsid w:val="00870F52"/>
    <w:rsid w:val="008711C8"/>
    <w:rsid w:val="008715F2"/>
    <w:rsid w:val="00871851"/>
    <w:rsid w:val="00871C98"/>
    <w:rsid w:val="008721FC"/>
    <w:rsid w:val="0087238E"/>
    <w:rsid w:val="00872414"/>
    <w:rsid w:val="00872E08"/>
    <w:rsid w:val="00872F06"/>
    <w:rsid w:val="008739F6"/>
    <w:rsid w:val="008752C9"/>
    <w:rsid w:val="008755D4"/>
    <w:rsid w:val="008759AB"/>
    <w:rsid w:val="00875C50"/>
    <w:rsid w:val="00875D92"/>
    <w:rsid w:val="0087633D"/>
    <w:rsid w:val="0087688A"/>
    <w:rsid w:val="008770D5"/>
    <w:rsid w:val="00877394"/>
    <w:rsid w:val="00877563"/>
    <w:rsid w:val="0088064B"/>
    <w:rsid w:val="00880B6E"/>
    <w:rsid w:val="00881C22"/>
    <w:rsid w:val="00882A52"/>
    <w:rsid w:val="008834DD"/>
    <w:rsid w:val="00884EC2"/>
    <w:rsid w:val="0088540D"/>
    <w:rsid w:val="00886920"/>
    <w:rsid w:val="00886BF5"/>
    <w:rsid w:val="008872F8"/>
    <w:rsid w:val="00887F40"/>
    <w:rsid w:val="00887F7A"/>
    <w:rsid w:val="00890714"/>
    <w:rsid w:val="00891943"/>
    <w:rsid w:val="008924B8"/>
    <w:rsid w:val="00892F78"/>
    <w:rsid w:val="00893078"/>
    <w:rsid w:val="00893677"/>
    <w:rsid w:val="00893CE7"/>
    <w:rsid w:val="00894010"/>
    <w:rsid w:val="008944A0"/>
    <w:rsid w:val="0089543E"/>
    <w:rsid w:val="00895C7A"/>
    <w:rsid w:val="0089651E"/>
    <w:rsid w:val="00896C1D"/>
    <w:rsid w:val="00897208"/>
    <w:rsid w:val="008972B8"/>
    <w:rsid w:val="00897A42"/>
    <w:rsid w:val="008A0608"/>
    <w:rsid w:val="008A0BF3"/>
    <w:rsid w:val="008A0EA8"/>
    <w:rsid w:val="008A11FF"/>
    <w:rsid w:val="008A12CB"/>
    <w:rsid w:val="008A1A19"/>
    <w:rsid w:val="008A298D"/>
    <w:rsid w:val="008A2F8C"/>
    <w:rsid w:val="008A31E3"/>
    <w:rsid w:val="008A3382"/>
    <w:rsid w:val="008A382E"/>
    <w:rsid w:val="008A3863"/>
    <w:rsid w:val="008A4009"/>
    <w:rsid w:val="008A46C2"/>
    <w:rsid w:val="008A4DA1"/>
    <w:rsid w:val="008A57BA"/>
    <w:rsid w:val="008A6020"/>
    <w:rsid w:val="008A6766"/>
    <w:rsid w:val="008A6A7E"/>
    <w:rsid w:val="008A7973"/>
    <w:rsid w:val="008A79D5"/>
    <w:rsid w:val="008A7E47"/>
    <w:rsid w:val="008B00E8"/>
    <w:rsid w:val="008B1983"/>
    <w:rsid w:val="008B1BEA"/>
    <w:rsid w:val="008B25EE"/>
    <w:rsid w:val="008B2A91"/>
    <w:rsid w:val="008B5018"/>
    <w:rsid w:val="008B60A8"/>
    <w:rsid w:val="008B636A"/>
    <w:rsid w:val="008B7AB3"/>
    <w:rsid w:val="008B7C14"/>
    <w:rsid w:val="008C01D9"/>
    <w:rsid w:val="008C0FF3"/>
    <w:rsid w:val="008C121B"/>
    <w:rsid w:val="008C13B2"/>
    <w:rsid w:val="008C1765"/>
    <w:rsid w:val="008C1E7D"/>
    <w:rsid w:val="008C2015"/>
    <w:rsid w:val="008C2271"/>
    <w:rsid w:val="008C24A0"/>
    <w:rsid w:val="008C3026"/>
    <w:rsid w:val="008C3715"/>
    <w:rsid w:val="008C3B6F"/>
    <w:rsid w:val="008C4536"/>
    <w:rsid w:val="008C46F0"/>
    <w:rsid w:val="008C498F"/>
    <w:rsid w:val="008C4A5F"/>
    <w:rsid w:val="008C4CF3"/>
    <w:rsid w:val="008C577D"/>
    <w:rsid w:val="008C623B"/>
    <w:rsid w:val="008C6973"/>
    <w:rsid w:val="008C7091"/>
    <w:rsid w:val="008C763D"/>
    <w:rsid w:val="008D0496"/>
    <w:rsid w:val="008D0586"/>
    <w:rsid w:val="008D0B15"/>
    <w:rsid w:val="008D17F9"/>
    <w:rsid w:val="008D2908"/>
    <w:rsid w:val="008D2949"/>
    <w:rsid w:val="008D2F92"/>
    <w:rsid w:val="008D42FE"/>
    <w:rsid w:val="008D5072"/>
    <w:rsid w:val="008D5777"/>
    <w:rsid w:val="008D58AC"/>
    <w:rsid w:val="008D59A6"/>
    <w:rsid w:val="008D5BB0"/>
    <w:rsid w:val="008D5C20"/>
    <w:rsid w:val="008D5EE9"/>
    <w:rsid w:val="008D6423"/>
    <w:rsid w:val="008D64FC"/>
    <w:rsid w:val="008D673F"/>
    <w:rsid w:val="008D675D"/>
    <w:rsid w:val="008D6ADA"/>
    <w:rsid w:val="008D6CEA"/>
    <w:rsid w:val="008D7B41"/>
    <w:rsid w:val="008D7EF2"/>
    <w:rsid w:val="008E02F0"/>
    <w:rsid w:val="008E10FB"/>
    <w:rsid w:val="008E1AD4"/>
    <w:rsid w:val="008E2186"/>
    <w:rsid w:val="008E23AB"/>
    <w:rsid w:val="008E2762"/>
    <w:rsid w:val="008E31AE"/>
    <w:rsid w:val="008E356F"/>
    <w:rsid w:val="008E3ECD"/>
    <w:rsid w:val="008E46CA"/>
    <w:rsid w:val="008E4905"/>
    <w:rsid w:val="008E4F6D"/>
    <w:rsid w:val="008E4FC1"/>
    <w:rsid w:val="008E50DF"/>
    <w:rsid w:val="008E51E2"/>
    <w:rsid w:val="008E5457"/>
    <w:rsid w:val="008E5AEF"/>
    <w:rsid w:val="008E5EE8"/>
    <w:rsid w:val="008E6FE6"/>
    <w:rsid w:val="008E7565"/>
    <w:rsid w:val="008E7D8B"/>
    <w:rsid w:val="008F0031"/>
    <w:rsid w:val="008F01C3"/>
    <w:rsid w:val="008F0E76"/>
    <w:rsid w:val="008F0EC6"/>
    <w:rsid w:val="008F151B"/>
    <w:rsid w:val="008F17FE"/>
    <w:rsid w:val="008F205C"/>
    <w:rsid w:val="008F21B4"/>
    <w:rsid w:val="008F2A22"/>
    <w:rsid w:val="008F2B7A"/>
    <w:rsid w:val="008F2F03"/>
    <w:rsid w:val="008F3154"/>
    <w:rsid w:val="008F33AF"/>
    <w:rsid w:val="008F35E1"/>
    <w:rsid w:val="008F3734"/>
    <w:rsid w:val="008F3928"/>
    <w:rsid w:val="008F3932"/>
    <w:rsid w:val="008F4123"/>
    <w:rsid w:val="008F454B"/>
    <w:rsid w:val="008F484A"/>
    <w:rsid w:val="008F5068"/>
    <w:rsid w:val="008F5FD8"/>
    <w:rsid w:val="008F6DB0"/>
    <w:rsid w:val="008F75F5"/>
    <w:rsid w:val="008F7952"/>
    <w:rsid w:val="009007C6"/>
    <w:rsid w:val="00900AE1"/>
    <w:rsid w:val="00901957"/>
    <w:rsid w:val="00902527"/>
    <w:rsid w:val="00902B9A"/>
    <w:rsid w:val="00902D1B"/>
    <w:rsid w:val="0090305B"/>
    <w:rsid w:val="00903568"/>
    <w:rsid w:val="009037C2"/>
    <w:rsid w:val="00904099"/>
    <w:rsid w:val="009043F8"/>
    <w:rsid w:val="009046C9"/>
    <w:rsid w:val="009047B7"/>
    <w:rsid w:val="00905578"/>
    <w:rsid w:val="00905DD5"/>
    <w:rsid w:val="00905F92"/>
    <w:rsid w:val="00906188"/>
    <w:rsid w:val="00906755"/>
    <w:rsid w:val="009068EA"/>
    <w:rsid w:val="0090693F"/>
    <w:rsid w:val="00906B16"/>
    <w:rsid w:val="0090706A"/>
    <w:rsid w:val="00907140"/>
    <w:rsid w:val="00907F70"/>
    <w:rsid w:val="009107B1"/>
    <w:rsid w:val="009108B3"/>
    <w:rsid w:val="00911108"/>
    <w:rsid w:val="0091145E"/>
    <w:rsid w:val="00911973"/>
    <w:rsid w:val="009121A9"/>
    <w:rsid w:val="00912643"/>
    <w:rsid w:val="009127A6"/>
    <w:rsid w:val="00913457"/>
    <w:rsid w:val="009136A6"/>
    <w:rsid w:val="00913E54"/>
    <w:rsid w:val="00914C2F"/>
    <w:rsid w:val="00914C77"/>
    <w:rsid w:val="00914E23"/>
    <w:rsid w:val="00914F4A"/>
    <w:rsid w:val="00915583"/>
    <w:rsid w:val="00915793"/>
    <w:rsid w:val="009157FB"/>
    <w:rsid w:val="00915C38"/>
    <w:rsid w:val="009169E5"/>
    <w:rsid w:val="009173C3"/>
    <w:rsid w:val="0091798F"/>
    <w:rsid w:val="00917B6D"/>
    <w:rsid w:val="00917B80"/>
    <w:rsid w:val="00917C1C"/>
    <w:rsid w:val="00917CED"/>
    <w:rsid w:val="00917EBB"/>
    <w:rsid w:val="00920138"/>
    <w:rsid w:val="00920E44"/>
    <w:rsid w:val="009210AF"/>
    <w:rsid w:val="00921F4F"/>
    <w:rsid w:val="0092251E"/>
    <w:rsid w:val="009225AB"/>
    <w:rsid w:val="00922805"/>
    <w:rsid w:val="00922B23"/>
    <w:rsid w:val="00922D8A"/>
    <w:rsid w:val="0092370E"/>
    <w:rsid w:val="00923827"/>
    <w:rsid w:val="00923FE8"/>
    <w:rsid w:val="009242E4"/>
    <w:rsid w:val="00924704"/>
    <w:rsid w:val="00925634"/>
    <w:rsid w:val="00925A60"/>
    <w:rsid w:val="00925FDD"/>
    <w:rsid w:val="00926261"/>
    <w:rsid w:val="0092650F"/>
    <w:rsid w:val="00926677"/>
    <w:rsid w:val="009269C9"/>
    <w:rsid w:val="00926BD4"/>
    <w:rsid w:val="00927AB2"/>
    <w:rsid w:val="00927C70"/>
    <w:rsid w:val="00930694"/>
    <w:rsid w:val="0093081E"/>
    <w:rsid w:val="009308AB"/>
    <w:rsid w:val="0093091B"/>
    <w:rsid w:val="00930D42"/>
    <w:rsid w:val="00930E1C"/>
    <w:rsid w:val="00930EAC"/>
    <w:rsid w:val="00930FA4"/>
    <w:rsid w:val="00931BC8"/>
    <w:rsid w:val="00931EF8"/>
    <w:rsid w:val="009326FF"/>
    <w:rsid w:val="00932810"/>
    <w:rsid w:val="00933358"/>
    <w:rsid w:val="00933686"/>
    <w:rsid w:val="00933762"/>
    <w:rsid w:val="0093469F"/>
    <w:rsid w:val="00934D5B"/>
    <w:rsid w:val="00934FE4"/>
    <w:rsid w:val="009351CF"/>
    <w:rsid w:val="00935478"/>
    <w:rsid w:val="00935A2F"/>
    <w:rsid w:val="009364D4"/>
    <w:rsid w:val="009414AF"/>
    <w:rsid w:val="009415EA"/>
    <w:rsid w:val="00942472"/>
    <w:rsid w:val="009429CF"/>
    <w:rsid w:val="009431E1"/>
    <w:rsid w:val="00943ACB"/>
    <w:rsid w:val="00944163"/>
    <w:rsid w:val="009441B9"/>
    <w:rsid w:val="00945170"/>
    <w:rsid w:val="00945552"/>
    <w:rsid w:val="009456DE"/>
    <w:rsid w:val="00945EA7"/>
    <w:rsid w:val="00946A66"/>
    <w:rsid w:val="00946C05"/>
    <w:rsid w:val="00947521"/>
    <w:rsid w:val="0094773F"/>
    <w:rsid w:val="00950764"/>
    <w:rsid w:val="00951386"/>
    <w:rsid w:val="00951C50"/>
    <w:rsid w:val="00951CF4"/>
    <w:rsid w:val="009520A9"/>
    <w:rsid w:val="00952145"/>
    <w:rsid w:val="0095232B"/>
    <w:rsid w:val="00952C7B"/>
    <w:rsid w:val="00952DFB"/>
    <w:rsid w:val="00952E71"/>
    <w:rsid w:val="009530E3"/>
    <w:rsid w:val="00953985"/>
    <w:rsid w:val="00953EE5"/>
    <w:rsid w:val="0095460A"/>
    <w:rsid w:val="009546CD"/>
    <w:rsid w:val="00954738"/>
    <w:rsid w:val="00954796"/>
    <w:rsid w:val="00954EA1"/>
    <w:rsid w:val="009556FD"/>
    <w:rsid w:val="00955C48"/>
    <w:rsid w:val="00955CC5"/>
    <w:rsid w:val="009560E5"/>
    <w:rsid w:val="009568CE"/>
    <w:rsid w:val="009578B7"/>
    <w:rsid w:val="00957F56"/>
    <w:rsid w:val="00960791"/>
    <w:rsid w:val="00960A97"/>
    <w:rsid w:val="00961620"/>
    <w:rsid w:val="00961640"/>
    <w:rsid w:val="00961866"/>
    <w:rsid w:val="00961EA5"/>
    <w:rsid w:val="009631B0"/>
    <w:rsid w:val="009631D2"/>
    <w:rsid w:val="009632A8"/>
    <w:rsid w:val="0096402A"/>
    <w:rsid w:val="00964545"/>
    <w:rsid w:val="009646EE"/>
    <w:rsid w:val="00964E66"/>
    <w:rsid w:val="00964F08"/>
    <w:rsid w:val="00964F5A"/>
    <w:rsid w:val="009661C1"/>
    <w:rsid w:val="0096679B"/>
    <w:rsid w:val="0096681E"/>
    <w:rsid w:val="0096721C"/>
    <w:rsid w:val="00967386"/>
    <w:rsid w:val="009702DC"/>
    <w:rsid w:val="009709B6"/>
    <w:rsid w:val="00970B65"/>
    <w:rsid w:val="00970CFF"/>
    <w:rsid w:val="00971922"/>
    <w:rsid w:val="00971BB9"/>
    <w:rsid w:val="00971FBF"/>
    <w:rsid w:val="00972987"/>
    <w:rsid w:val="00972A6B"/>
    <w:rsid w:val="00972F17"/>
    <w:rsid w:val="009731CD"/>
    <w:rsid w:val="009731DC"/>
    <w:rsid w:val="0097388A"/>
    <w:rsid w:val="009739BD"/>
    <w:rsid w:val="009744AF"/>
    <w:rsid w:val="009748BE"/>
    <w:rsid w:val="00974FA4"/>
    <w:rsid w:val="00975421"/>
    <w:rsid w:val="009760F4"/>
    <w:rsid w:val="00976944"/>
    <w:rsid w:val="00976DE3"/>
    <w:rsid w:val="0097702B"/>
    <w:rsid w:val="00977032"/>
    <w:rsid w:val="00977133"/>
    <w:rsid w:val="009776A1"/>
    <w:rsid w:val="00977718"/>
    <w:rsid w:val="00977AE1"/>
    <w:rsid w:val="0098097A"/>
    <w:rsid w:val="00980D4B"/>
    <w:rsid w:val="009810B8"/>
    <w:rsid w:val="009811FD"/>
    <w:rsid w:val="0098173E"/>
    <w:rsid w:val="00981B70"/>
    <w:rsid w:val="0098229D"/>
    <w:rsid w:val="009827FF"/>
    <w:rsid w:val="00982AE0"/>
    <w:rsid w:val="0098335F"/>
    <w:rsid w:val="009836EA"/>
    <w:rsid w:val="00983B29"/>
    <w:rsid w:val="00983F09"/>
    <w:rsid w:val="0098424A"/>
    <w:rsid w:val="00984AF3"/>
    <w:rsid w:val="00984DF1"/>
    <w:rsid w:val="00985864"/>
    <w:rsid w:val="00986094"/>
    <w:rsid w:val="009862BA"/>
    <w:rsid w:val="0098650E"/>
    <w:rsid w:val="00986596"/>
    <w:rsid w:val="00986611"/>
    <w:rsid w:val="00986FFE"/>
    <w:rsid w:val="00987287"/>
    <w:rsid w:val="00987575"/>
    <w:rsid w:val="009875DB"/>
    <w:rsid w:val="00987C0D"/>
    <w:rsid w:val="00991293"/>
    <w:rsid w:val="00991869"/>
    <w:rsid w:val="00991BAF"/>
    <w:rsid w:val="00991F20"/>
    <w:rsid w:val="009921BD"/>
    <w:rsid w:val="009926D7"/>
    <w:rsid w:val="0099288B"/>
    <w:rsid w:val="00992BD2"/>
    <w:rsid w:val="009940D0"/>
    <w:rsid w:val="00994930"/>
    <w:rsid w:val="00994B91"/>
    <w:rsid w:val="00994BB4"/>
    <w:rsid w:val="009956E4"/>
    <w:rsid w:val="0099572A"/>
    <w:rsid w:val="00995F01"/>
    <w:rsid w:val="00996325"/>
    <w:rsid w:val="00996346"/>
    <w:rsid w:val="00996F89"/>
    <w:rsid w:val="00997254"/>
    <w:rsid w:val="00997868"/>
    <w:rsid w:val="00997EB9"/>
    <w:rsid w:val="00997F22"/>
    <w:rsid w:val="009A051C"/>
    <w:rsid w:val="009A0602"/>
    <w:rsid w:val="009A080D"/>
    <w:rsid w:val="009A140A"/>
    <w:rsid w:val="009A1758"/>
    <w:rsid w:val="009A20F7"/>
    <w:rsid w:val="009A3003"/>
    <w:rsid w:val="009A3087"/>
    <w:rsid w:val="009A3176"/>
    <w:rsid w:val="009A37C2"/>
    <w:rsid w:val="009A4843"/>
    <w:rsid w:val="009A4F68"/>
    <w:rsid w:val="009A577E"/>
    <w:rsid w:val="009A5FBC"/>
    <w:rsid w:val="009A6687"/>
    <w:rsid w:val="009A6976"/>
    <w:rsid w:val="009A7DC7"/>
    <w:rsid w:val="009B084A"/>
    <w:rsid w:val="009B0CD9"/>
    <w:rsid w:val="009B1703"/>
    <w:rsid w:val="009B1E55"/>
    <w:rsid w:val="009B25FB"/>
    <w:rsid w:val="009B2DFB"/>
    <w:rsid w:val="009B2E95"/>
    <w:rsid w:val="009B30F7"/>
    <w:rsid w:val="009B33EA"/>
    <w:rsid w:val="009B362E"/>
    <w:rsid w:val="009B39F5"/>
    <w:rsid w:val="009B3A08"/>
    <w:rsid w:val="009B3C32"/>
    <w:rsid w:val="009B482B"/>
    <w:rsid w:val="009B4927"/>
    <w:rsid w:val="009B4A79"/>
    <w:rsid w:val="009B4BC5"/>
    <w:rsid w:val="009B4C9E"/>
    <w:rsid w:val="009B4D1E"/>
    <w:rsid w:val="009B535C"/>
    <w:rsid w:val="009B5408"/>
    <w:rsid w:val="009B5870"/>
    <w:rsid w:val="009B588A"/>
    <w:rsid w:val="009B6197"/>
    <w:rsid w:val="009B64AE"/>
    <w:rsid w:val="009B6AFF"/>
    <w:rsid w:val="009B6E49"/>
    <w:rsid w:val="009B747E"/>
    <w:rsid w:val="009B7520"/>
    <w:rsid w:val="009B79DE"/>
    <w:rsid w:val="009B7B17"/>
    <w:rsid w:val="009B7B86"/>
    <w:rsid w:val="009B7D0C"/>
    <w:rsid w:val="009B7D31"/>
    <w:rsid w:val="009B7EDD"/>
    <w:rsid w:val="009C1364"/>
    <w:rsid w:val="009C145D"/>
    <w:rsid w:val="009C16BC"/>
    <w:rsid w:val="009C2A3C"/>
    <w:rsid w:val="009C2E60"/>
    <w:rsid w:val="009C37A0"/>
    <w:rsid w:val="009C3E25"/>
    <w:rsid w:val="009C4A80"/>
    <w:rsid w:val="009C4AC6"/>
    <w:rsid w:val="009C549D"/>
    <w:rsid w:val="009C6017"/>
    <w:rsid w:val="009C6E08"/>
    <w:rsid w:val="009C6EAF"/>
    <w:rsid w:val="009C7097"/>
    <w:rsid w:val="009C7149"/>
    <w:rsid w:val="009C77F5"/>
    <w:rsid w:val="009D00D4"/>
    <w:rsid w:val="009D041E"/>
    <w:rsid w:val="009D0A97"/>
    <w:rsid w:val="009D0AD8"/>
    <w:rsid w:val="009D0BF0"/>
    <w:rsid w:val="009D14FA"/>
    <w:rsid w:val="009D181C"/>
    <w:rsid w:val="009D26DD"/>
    <w:rsid w:val="009D39F1"/>
    <w:rsid w:val="009D3CAE"/>
    <w:rsid w:val="009D3FEB"/>
    <w:rsid w:val="009D3FFD"/>
    <w:rsid w:val="009D42E5"/>
    <w:rsid w:val="009D48B0"/>
    <w:rsid w:val="009D51E5"/>
    <w:rsid w:val="009D5395"/>
    <w:rsid w:val="009D544F"/>
    <w:rsid w:val="009D59EC"/>
    <w:rsid w:val="009D5B92"/>
    <w:rsid w:val="009D609D"/>
    <w:rsid w:val="009D6423"/>
    <w:rsid w:val="009D69A7"/>
    <w:rsid w:val="009D6BD1"/>
    <w:rsid w:val="009D6BD7"/>
    <w:rsid w:val="009D750B"/>
    <w:rsid w:val="009D7FB9"/>
    <w:rsid w:val="009E0771"/>
    <w:rsid w:val="009E136B"/>
    <w:rsid w:val="009E2749"/>
    <w:rsid w:val="009E28CF"/>
    <w:rsid w:val="009E2FBB"/>
    <w:rsid w:val="009E31A7"/>
    <w:rsid w:val="009E34AB"/>
    <w:rsid w:val="009E3A67"/>
    <w:rsid w:val="009E3ACB"/>
    <w:rsid w:val="009E41A7"/>
    <w:rsid w:val="009E49AC"/>
    <w:rsid w:val="009E4E18"/>
    <w:rsid w:val="009E5141"/>
    <w:rsid w:val="009E525E"/>
    <w:rsid w:val="009E5F95"/>
    <w:rsid w:val="009E639B"/>
    <w:rsid w:val="009E6750"/>
    <w:rsid w:val="009E6826"/>
    <w:rsid w:val="009E69C3"/>
    <w:rsid w:val="009E6AAB"/>
    <w:rsid w:val="009E71C3"/>
    <w:rsid w:val="009E76D7"/>
    <w:rsid w:val="009E79CF"/>
    <w:rsid w:val="009E7A34"/>
    <w:rsid w:val="009E7C10"/>
    <w:rsid w:val="009F03CE"/>
    <w:rsid w:val="009F059A"/>
    <w:rsid w:val="009F0CBC"/>
    <w:rsid w:val="009F0DA8"/>
    <w:rsid w:val="009F144C"/>
    <w:rsid w:val="009F180D"/>
    <w:rsid w:val="009F1AF7"/>
    <w:rsid w:val="009F1B51"/>
    <w:rsid w:val="009F1EBD"/>
    <w:rsid w:val="009F205A"/>
    <w:rsid w:val="009F213A"/>
    <w:rsid w:val="009F22CE"/>
    <w:rsid w:val="009F2943"/>
    <w:rsid w:val="009F2AA8"/>
    <w:rsid w:val="009F2BB3"/>
    <w:rsid w:val="009F308B"/>
    <w:rsid w:val="009F44BA"/>
    <w:rsid w:val="009F4A04"/>
    <w:rsid w:val="009F4A5E"/>
    <w:rsid w:val="009F5085"/>
    <w:rsid w:val="009F50BD"/>
    <w:rsid w:val="009F5433"/>
    <w:rsid w:val="009F5A10"/>
    <w:rsid w:val="009F60BB"/>
    <w:rsid w:val="009F60C2"/>
    <w:rsid w:val="009F643A"/>
    <w:rsid w:val="009F66C7"/>
    <w:rsid w:val="009F6A49"/>
    <w:rsid w:val="009F6E89"/>
    <w:rsid w:val="009F6EFF"/>
    <w:rsid w:val="009F705C"/>
    <w:rsid w:val="009F74D9"/>
    <w:rsid w:val="00A00CC5"/>
    <w:rsid w:val="00A015C2"/>
    <w:rsid w:val="00A0288B"/>
    <w:rsid w:val="00A031DB"/>
    <w:rsid w:val="00A0338C"/>
    <w:rsid w:val="00A04362"/>
    <w:rsid w:val="00A04735"/>
    <w:rsid w:val="00A04EC0"/>
    <w:rsid w:val="00A05734"/>
    <w:rsid w:val="00A058ED"/>
    <w:rsid w:val="00A06714"/>
    <w:rsid w:val="00A06C4F"/>
    <w:rsid w:val="00A071F2"/>
    <w:rsid w:val="00A075C1"/>
    <w:rsid w:val="00A0799B"/>
    <w:rsid w:val="00A1066C"/>
    <w:rsid w:val="00A10DD7"/>
    <w:rsid w:val="00A110F1"/>
    <w:rsid w:val="00A11281"/>
    <w:rsid w:val="00A11418"/>
    <w:rsid w:val="00A122F1"/>
    <w:rsid w:val="00A12B7B"/>
    <w:rsid w:val="00A12E10"/>
    <w:rsid w:val="00A14033"/>
    <w:rsid w:val="00A1512F"/>
    <w:rsid w:val="00A15348"/>
    <w:rsid w:val="00A156AE"/>
    <w:rsid w:val="00A16F0B"/>
    <w:rsid w:val="00A1754D"/>
    <w:rsid w:val="00A17601"/>
    <w:rsid w:val="00A178B9"/>
    <w:rsid w:val="00A2064B"/>
    <w:rsid w:val="00A2124A"/>
    <w:rsid w:val="00A212F6"/>
    <w:rsid w:val="00A21365"/>
    <w:rsid w:val="00A2213F"/>
    <w:rsid w:val="00A228D8"/>
    <w:rsid w:val="00A238A6"/>
    <w:rsid w:val="00A23A4D"/>
    <w:rsid w:val="00A23B3F"/>
    <w:rsid w:val="00A2409C"/>
    <w:rsid w:val="00A24227"/>
    <w:rsid w:val="00A242E6"/>
    <w:rsid w:val="00A248B8"/>
    <w:rsid w:val="00A24BA0"/>
    <w:rsid w:val="00A25507"/>
    <w:rsid w:val="00A25573"/>
    <w:rsid w:val="00A25E9D"/>
    <w:rsid w:val="00A264F2"/>
    <w:rsid w:val="00A273A9"/>
    <w:rsid w:val="00A27567"/>
    <w:rsid w:val="00A2760D"/>
    <w:rsid w:val="00A27DB0"/>
    <w:rsid w:val="00A30396"/>
    <w:rsid w:val="00A304AB"/>
    <w:rsid w:val="00A309A8"/>
    <w:rsid w:val="00A31150"/>
    <w:rsid w:val="00A315CA"/>
    <w:rsid w:val="00A329EF"/>
    <w:rsid w:val="00A33239"/>
    <w:rsid w:val="00A33FB9"/>
    <w:rsid w:val="00A34E28"/>
    <w:rsid w:val="00A35215"/>
    <w:rsid w:val="00A3559B"/>
    <w:rsid w:val="00A35602"/>
    <w:rsid w:val="00A36491"/>
    <w:rsid w:val="00A364E6"/>
    <w:rsid w:val="00A36562"/>
    <w:rsid w:val="00A366D4"/>
    <w:rsid w:val="00A3757C"/>
    <w:rsid w:val="00A37933"/>
    <w:rsid w:val="00A37F3C"/>
    <w:rsid w:val="00A37FD3"/>
    <w:rsid w:val="00A40FB2"/>
    <w:rsid w:val="00A418DB"/>
    <w:rsid w:val="00A43B86"/>
    <w:rsid w:val="00A43BE0"/>
    <w:rsid w:val="00A44052"/>
    <w:rsid w:val="00A441F3"/>
    <w:rsid w:val="00A44220"/>
    <w:rsid w:val="00A447AE"/>
    <w:rsid w:val="00A44A06"/>
    <w:rsid w:val="00A44B22"/>
    <w:rsid w:val="00A44B8E"/>
    <w:rsid w:val="00A44FD0"/>
    <w:rsid w:val="00A45C74"/>
    <w:rsid w:val="00A45ECF"/>
    <w:rsid w:val="00A45EEC"/>
    <w:rsid w:val="00A469CF"/>
    <w:rsid w:val="00A472E6"/>
    <w:rsid w:val="00A478D9"/>
    <w:rsid w:val="00A47E54"/>
    <w:rsid w:val="00A47FCA"/>
    <w:rsid w:val="00A50027"/>
    <w:rsid w:val="00A501BC"/>
    <w:rsid w:val="00A504A1"/>
    <w:rsid w:val="00A50E0E"/>
    <w:rsid w:val="00A51A5C"/>
    <w:rsid w:val="00A51D13"/>
    <w:rsid w:val="00A521B3"/>
    <w:rsid w:val="00A524EE"/>
    <w:rsid w:val="00A528B1"/>
    <w:rsid w:val="00A52918"/>
    <w:rsid w:val="00A52C8C"/>
    <w:rsid w:val="00A52DCA"/>
    <w:rsid w:val="00A52ED1"/>
    <w:rsid w:val="00A53580"/>
    <w:rsid w:val="00A5395F"/>
    <w:rsid w:val="00A53FD7"/>
    <w:rsid w:val="00A542C5"/>
    <w:rsid w:val="00A5430F"/>
    <w:rsid w:val="00A549D0"/>
    <w:rsid w:val="00A54F82"/>
    <w:rsid w:val="00A555FF"/>
    <w:rsid w:val="00A55B54"/>
    <w:rsid w:val="00A55CA4"/>
    <w:rsid w:val="00A55D1D"/>
    <w:rsid w:val="00A55E65"/>
    <w:rsid w:val="00A560FC"/>
    <w:rsid w:val="00A56B3F"/>
    <w:rsid w:val="00A56C8E"/>
    <w:rsid w:val="00A600C2"/>
    <w:rsid w:val="00A604BE"/>
    <w:rsid w:val="00A60599"/>
    <w:rsid w:val="00A61001"/>
    <w:rsid w:val="00A6158E"/>
    <w:rsid w:val="00A61C85"/>
    <w:rsid w:val="00A629E3"/>
    <w:rsid w:val="00A62FBF"/>
    <w:rsid w:val="00A63DFC"/>
    <w:rsid w:val="00A6466D"/>
    <w:rsid w:val="00A64677"/>
    <w:rsid w:val="00A65126"/>
    <w:rsid w:val="00A652D3"/>
    <w:rsid w:val="00A6546F"/>
    <w:rsid w:val="00A65AF9"/>
    <w:rsid w:val="00A66166"/>
    <w:rsid w:val="00A666C1"/>
    <w:rsid w:val="00A66D88"/>
    <w:rsid w:val="00A66F28"/>
    <w:rsid w:val="00A67187"/>
    <w:rsid w:val="00A67433"/>
    <w:rsid w:val="00A67AE3"/>
    <w:rsid w:val="00A67E72"/>
    <w:rsid w:val="00A67E7A"/>
    <w:rsid w:val="00A70407"/>
    <w:rsid w:val="00A70551"/>
    <w:rsid w:val="00A715FB"/>
    <w:rsid w:val="00A71828"/>
    <w:rsid w:val="00A718A8"/>
    <w:rsid w:val="00A71EF2"/>
    <w:rsid w:val="00A720CD"/>
    <w:rsid w:val="00A7222B"/>
    <w:rsid w:val="00A731EB"/>
    <w:rsid w:val="00A734D6"/>
    <w:rsid w:val="00A73979"/>
    <w:rsid w:val="00A7490B"/>
    <w:rsid w:val="00A74F09"/>
    <w:rsid w:val="00A75927"/>
    <w:rsid w:val="00A75DFC"/>
    <w:rsid w:val="00A76578"/>
    <w:rsid w:val="00A76925"/>
    <w:rsid w:val="00A76CC3"/>
    <w:rsid w:val="00A77B27"/>
    <w:rsid w:val="00A77EAE"/>
    <w:rsid w:val="00A805FC"/>
    <w:rsid w:val="00A810EA"/>
    <w:rsid w:val="00A81509"/>
    <w:rsid w:val="00A8203B"/>
    <w:rsid w:val="00A822F9"/>
    <w:rsid w:val="00A82EA7"/>
    <w:rsid w:val="00A833A7"/>
    <w:rsid w:val="00A836DC"/>
    <w:rsid w:val="00A83A3F"/>
    <w:rsid w:val="00A8457C"/>
    <w:rsid w:val="00A846A0"/>
    <w:rsid w:val="00A85B1C"/>
    <w:rsid w:val="00A85C82"/>
    <w:rsid w:val="00A85FFA"/>
    <w:rsid w:val="00A86343"/>
    <w:rsid w:val="00A86EC0"/>
    <w:rsid w:val="00A86FED"/>
    <w:rsid w:val="00A87489"/>
    <w:rsid w:val="00A8772B"/>
    <w:rsid w:val="00A87829"/>
    <w:rsid w:val="00A90784"/>
    <w:rsid w:val="00A90E41"/>
    <w:rsid w:val="00A915D7"/>
    <w:rsid w:val="00A91D83"/>
    <w:rsid w:val="00A91E1B"/>
    <w:rsid w:val="00A92072"/>
    <w:rsid w:val="00A92AD0"/>
    <w:rsid w:val="00A92DB7"/>
    <w:rsid w:val="00A92FFE"/>
    <w:rsid w:val="00A93307"/>
    <w:rsid w:val="00A93EE4"/>
    <w:rsid w:val="00A94079"/>
    <w:rsid w:val="00A9479D"/>
    <w:rsid w:val="00A95213"/>
    <w:rsid w:val="00A958E3"/>
    <w:rsid w:val="00A95B69"/>
    <w:rsid w:val="00A9690F"/>
    <w:rsid w:val="00A96F3C"/>
    <w:rsid w:val="00A96FAA"/>
    <w:rsid w:val="00A97515"/>
    <w:rsid w:val="00A97CE5"/>
    <w:rsid w:val="00AA0373"/>
    <w:rsid w:val="00AA18FD"/>
    <w:rsid w:val="00AA1ACF"/>
    <w:rsid w:val="00AA3375"/>
    <w:rsid w:val="00AA3DF9"/>
    <w:rsid w:val="00AA40BB"/>
    <w:rsid w:val="00AA4271"/>
    <w:rsid w:val="00AA42B1"/>
    <w:rsid w:val="00AA46CE"/>
    <w:rsid w:val="00AA4A20"/>
    <w:rsid w:val="00AA4C07"/>
    <w:rsid w:val="00AA4CFB"/>
    <w:rsid w:val="00AA4D11"/>
    <w:rsid w:val="00AA557D"/>
    <w:rsid w:val="00AA5815"/>
    <w:rsid w:val="00AA6906"/>
    <w:rsid w:val="00AA7524"/>
    <w:rsid w:val="00AB04CF"/>
    <w:rsid w:val="00AB0E99"/>
    <w:rsid w:val="00AB0EDB"/>
    <w:rsid w:val="00AB1418"/>
    <w:rsid w:val="00AB183A"/>
    <w:rsid w:val="00AB1CB5"/>
    <w:rsid w:val="00AB2279"/>
    <w:rsid w:val="00AB572A"/>
    <w:rsid w:val="00AB5FB7"/>
    <w:rsid w:val="00AB6767"/>
    <w:rsid w:val="00AB7335"/>
    <w:rsid w:val="00AB7439"/>
    <w:rsid w:val="00AB7894"/>
    <w:rsid w:val="00AB7B5E"/>
    <w:rsid w:val="00AC0CC1"/>
    <w:rsid w:val="00AC14B5"/>
    <w:rsid w:val="00AC1549"/>
    <w:rsid w:val="00AC21AF"/>
    <w:rsid w:val="00AC2311"/>
    <w:rsid w:val="00AC23C1"/>
    <w:rsid w:val="00AC2426"/>
    <w:rsid w:val="00AC25AE"/>
    <w:rsid w:val="00AC2CBA"/>
    <w:rsid w:val="00AC2F89"/>
    <w:rsid w:val="00AC3236"/>
    <w:rsid w:val="00AC3911"/>
    <w:rsid w:val="00AC4328"/>
    <w:rsid w:val="00AC482C"/>
    <w:rsid w:val="00AC5056"/>
    <w:rsid w:val="00AC5157"/>
    <w:rsid w:val="00AC5609"/>
    <w:rsid w:val="00AC58BF"/>
    <w:rsid w:val="00AC6453"/>
    <w:rsid w:val="00AC6687"/>
    <w:rsid w:val="00AC6C3B"/>
    <w:rsid w:val="00AC6DD2"/>
    <w:rsid w:val="00AC7217"/>
    <w:rsid w:val="00AC7B5C"/>
    <w:rsid w:val="00AD08E1"/>
    <w:rsid w:val="00AD094B"/>
    <w:rsid w:val="00AD0B86"/>
    <w:rsid w:val="00AD138C"/>
    <w:rsid w:val="00AD1495"/>
    <w:rsid w:val="00AD1561"/>
    <w:rsid w:val="00AD2ACC"/>
    <w:rsid w:val="00AD32EA"/>
    <w:rsid w:val="00AD3DC9"/>
    <w:rsid w:val="00AD511A"/>
    <w:rsid w:val="00AD5D5A"/>
    <w:rsid w:val="00AD5E1B"/>
    <w:rsid w:val="00AD6437"/>
    <w:rsid w:val="00AD6A35"/>
    <w:rsid w:val="00AD6F8C"/>
    <w:rsid w:val="00AD7076"/>
    <w:rsid w:val="00AD738D"/>
    <w:rsid w:val="00AD75AB"/>
    <w:rsid w:val="00AD770C"/>
    <w:rsid w:val="00AE0754"/>
    <w:rsid w:val="00AE0DC7"/>
    <w:rsid w:val="00AE0E25"/>
    <w:rsid w:val="00AE1236"/>
    <w:rsid w:val="00AE1ACA"/>
    <w:rsid w:val="00AE22DA"/>
    <w:rsid w:val="00AE2531"/>
    <w:rsid w:val="00AE299B"/>
    <w:rsid w:val="00AE2C6F"/>
    <w:rsid w:val="00AE30D7"/>
    <w:rsid w:val="00AE32DA"/>
    <w:rsid w:val="00AE3617"/>
    <w:rsid w:val="00AE506E"/>
    <w:rsid w:val="00AE509D"/>
    <w:rsid w:val="00AE55D1"/>
    <w:rsid w:val="00AE57E2"/>
    <w:rsid w:val="00AE5988"/>
    <w:rsid w:val="00AE616C"/>
    <w:rsid w:val="00AE62A2"/>
    <w:rsid w:val="00AE64CA"/>
    <w:rsid w:val="00AE6A89"/>
    <w:rsid w:val="00AE746C"/>
    <w:rsid w:val="00AE768D"/>
    <w:rsid w:val="00AE7CA5"/>
    <w:rsid w:val="00AF0BCA"/>
    <w:rsid w:val="00AF12CE"/>
    <w:rsid w:val="00AF21C9"/>
    <w:rsid w:val="00AF2383"/>
    <w:rsid w:val="00AF24C4"/>
    <w:rsid w:val="00AF2DFE"/>
    <w:rsid w:val="00AF342B"/>
    <w:rsid w:val="00AF37BC"/>
    <w:rsid w:val="00AF53AA"/>
    <w:rsid w:val="00AF54A2"/>
    <w:rsid w:val="00AF56A7"/>
    <w:rsid w:val="00AF5A99"/>
    <w:rsid w:val="00AF5AB5"/>
    <w:rsid w:val="00AF5D21"/>
    <w:rsid w:val="00AF6908"/>
    <w:rsid w:val="00AF6E21"/>
    <w:rsid w:val="00AF6F8E"/>
    <w:rsid w:val="00AF708A"/>
    <w:rsid w:val="00AF7BDE"/>
    <w:rsid w:val="00B003D6"/>
    <w:rsid w:val="00B00755"/>
    <w:rsid w:val="00B01B72"/>
    <w:rsid w:val="00B01E28"/>
    <w:rsid w:val="00B01F5D"/>
    <w:rsid w:val="00B020B9"/>
    <w:rsid w:val="00B02488"/>
    <w:rsid w:val="00B027A1"/>
    <w:rsid w:val="00B02D30"/>
    <w:rsid w:val="00B032B1"/>
    <w:rsid w:val="00B03874"/>
    <w:rsid w:val="00B039EC"/>
    <w:rsid w:val="00B03F45"/>
    <w:rsid w:val="00B0418D"/>
    <w:rsid w:val="00B047F0"/>
    <w:rsid w:val="00B04A23"/>
    <w:rsid w:val="00B04CAC"/>
    <w:rsid w:val="00B0542D"/>
    <w:rsid w:val="00B058A6"/>
    <w:rsid w:val="00B06044"/>
    <w:rsid w:val="00B065B4"/>
    <w:rsid w:val="00B06878"/>
    <w:rsid w:val="00B06E98"/>
    <w:rsid w:val="00B06FD0"/>
    <w:rsid w:val="00B06FEC"/>
    <w:rsid w:val="00B071E6"/>
    <w:rsid w:val="00B0731B"/>
    <w:rsid w:val="00B10317"/>
    <w:rsid w:val="00B10F3F"/>
    <w:rsid w:val="00B10FFE"/>
    <w:rsid w:val="00B1102D"/>
    <w:rsid w:val="00B117DA"/>
    <w:rsid w:val="00B1199A"/>
    <w:rsid w:val="00B11E30"/>
    <w:rsid w:val="00B11F88"/>
    <w:rsid w:val="00B12126"/>
    <w:rsid w:val="00B12A57"/>
    <w:rsid w:val="00B12D80"/>
    <w:rsid w:val="00B13395"/>
    <w:rsid w:val="00B13D76"/>
    <w:rsid w:val="00B14A26"/>
    <w:rsid w:val="00B14EBE"/>
    <w:rsid w:val="00B14F39"/>
    <w:rsid w:val="00B15949"/>
    <w:rsid w:val="00B15B8D"/>
    <w:rsid w:val="00B15F97"/>
    <w:rsid w:val="00B15FB8"/>
    <w:rsid w:val="00B161A7"/>
    <w:rsid w:val="00B200DD"/>
    <w:rsid w:val="00B20890"/>
    <w:rsid w:val="00B20B6E"/>
    <w:rsid w:val="00B20FA0"/>
    <w:rsid w:val="00B21745"/>
    <w:rsid w:val="00B22A6E"/>
    <w:rsid w:val="00B237E0"/>
    <w:rsid w:val="00B23DA1"/>
    <w:rsid w:val="00B241E1"/>
    <w:rsid w:val="00B2509F"/>
    <w:rsid w:val="00B25325"/>
    <w:rsid w:val="00B25958"/>
    <w:rsid w:val="00B25A7C"/>
    <w:rsid w:val="00B25BF8"/>
    <w:rsid w:val="00B2701C"/>
    <w:rsid w:val="00B270D2"/>
    <w:rsid w:val="00B27144"/>
    <w:rsid w:val="00B273C8"/>
    <w:rsid w:val="00B2783F"/>
    <w:rsid w:val="00B27A62"/>
    <w:rsid w:val="00B30F2C"/>
    <w:rsid w:val="00B31392"/>
    <w:rsid w:val="00B31561"/>
    <w:rsid w:val="00B3235B"/>
    <w:rsid w:val="00B33D23"/>
    <w:rsid w:val="00B34200"/>
    <w:rsid w:val="00B34B84"/>
    <w:rsid w:val="00B34E55"/>
    <w:rsid w:val="00B353C0"/>
    <w:rsid w:val="00B35828"/>
    <w:rsid w:val="00B36C19"/>
    <w:rsid w:val="00B36C2C"/>
    <w:rsid w:val="00B36F60"/>
    <w:rsid w:val="00B37562"/>
    <w:rsid w:val="00B4004F"/>
    <w:rsid w:val="00B40155"/>
    <w:rsid w:val="00B40991"/>
    <w:rsid w:val="00B40FD6"/>
    <w:rsid w:val="00B415BC"/>
    <w:rsid w:val="00B42504"/>
    <w:rsid w:val="00B427BE"/>
    <w:rsid w:val="00B42D57"/>
    <w:rsid w:val="00B43490"/>
    <w:rsid w:val="00B438E1"/>
    <w:rsid w:val="00B43C41"/>
    <w:rsid w:val="00B44227"/>
    <w:rsid w:val="00B44233"/>
    <w:rsid w:val="00B44A5F"/>
    <w:rsid w:val="00B44D33"/>
    <w:rsid w:val="00B45AC1"/>
    <w:rsid w:val="00B462DB"/>
    <w:rsid w:val="00B46736"/>
    <w:rsid w:val="00B46C82"/>
    <w:rsid w:val="00B46D64"/>
    <w:rsid w:val="00B471AA"/>
    <w:rsid w:val="00B473B1"/>
    <w:rsid w:val="00B473E1"/>
    <w:rsid w:val="00B47782"/>
    <w:rsid w:val="00B47BF1"/>
    <w:rsid w:val="00B50205"/>
    <w:rsid w:val="00B5071F"/>
    <w:rsid w:val="00B50923"/>
    <w:rsid w:val="00B50970"/>
    <w:rsid w:val="00B515FA"/>
    <w:rsid w:val="00B518AF"/>
    <w:rsid w:val="00B51AB2"/>
    <w:rsid w:val="00B51B48"/>
    <w:rsid w:val="00B520D2"/>
    <w:rsid w:val="00B528D6"/>
    <w:rsid w:val="00B531CE"/>
    <w:rsid w:val="00B53379"/>
    <w:rsid w:val="00B5371A"/>
    <w:rsid w:val="00B53A41"/>
    <w:rsid w:val="00B53FD1"/>
    <w:rsid w:val="00B54547"/>
    <w:rsid w:val="00B54FD0"/>
    <w:rsid w:val="00B5576B"/>
    <w:rsid w:val="00B55C3C"/>
    <w:rsid w:val="00B562F9"/>
    <w:rsid w:val="00B56C39"/>
    <w:rsid w:val="00B56FEF"/>
    <w:rsid w:val="00B571EA"/>
    <w:rsid w:val="00B57910"/>
    <w:rsid w:val="00B57EB0"/>
    <w:rsid w:val="00B57FE6"/>
    <w:rsid w:val="00B605B8"/>
    <w:rsid w:val="00B60840"/>
    <w:rsid w:val="00B60C84"/>
    <w:rsid w:val="00B60E2F"/>
    <w:rsid w:val="00B60FB4"/>
    <w:rsid w:val="00B61852"/>
    <w:rsid w:val="00B6241E"/>
    <w:rsid w:val="00B624FD"/>
    <w:rsid w:val="00B62BB6"/>
    <w:rsid w:val="00B636A1"/>
    <w:rsid w:val="00B63BCF"/>
    <w:rsid w:val="00B63D8E"/>
    <w:rsid w:val="00B63DFE"/>
    <w:rsid w:val="00B640F9"/>
    <w:rsid w:val="00B64249"/>
    <w:rsid w:val="00B653CA"/>
    <w:rsid w:val="00B65B02"/>
    <w:rsid w:val="00B663D4"/>
    <w:rsid w:val="00B665E1"/>
    <w:rsid w:val="00B66897"/>
    <w:rsid w:val="00B67C2D"/>
    <w:rsid w:val="00B67D57"/>
    <w:rsid w:val="00B711E3"/>
    <w:rsid w:val="00B716EF"/>
    <w:rsid w:val="00B72107"/>
    <w:rsid w:val="00B721A7"/>
    <w:rsid w:val="00B7275B"/>
    <w:rsid w:val="00B730E1"/>
    <w:rsid w:val="00B7322E"/>
    <w:rsid w:val="00B7326D"/>
    <w:rsid w:val="00B73F69"/>
    <w:rsid w:val="00B74172"/>
    <w:rsid w:val="00B74416"/>
    <w:rsid w:val="00B74A7A"/>
    <w:rsid w:val="00B74B3F"/>
    <w:rsid w:val="00B74E81"/>
    <w:rsid w:val="00B7628F"/>
    <w:rsid w:val="00B7630D"/>
    <w:rsid w:val="00B76456"/>
    <w:rsid w:val="00B76BC1"/>
    <w:rsid w:val="00B77141"/>
    <w:rsid w:val="00B771E4"/>
    <w:rsid w:val="00B77455"/>
    <w:rsid w:val="00B778A6"/>
    <w:rsid w:val="00B80775"/>
    <w:rsid w:val="00B808C1"/>
    <w:rsid w:val="00B80E2B"/>
    <w:rsid w:val="00B80F60"/>
    <w:rsid w:val="00B8151B"/>
    <w:rsid w:val="00B81E55"/>
    <w:rsid w:val="00B82CCD"/>
    <w:rsid w:val="00B8361F"/>
    <w:rsid w:val="00B83A75"/>
    <w:rsid w:val="00B83D05"/>
    <w:rsid w:val="00B83FBB"/>
    <w:rsid w:val="00B84189"/>
    <w:rsid w:val="00B84349"/>
    <w:rsid w:val="00B84C1D"/>
    <w:rsid w:val="00B85428"/>
    <w:rsid w:val="00B85A00"/>
    <w:rsid w:val="00B85D86"/>
    <w:rsid w:val="00B860BB"/>
    <w:rsid w:val="00B866EE"/>
    <w:rsid w:val="00B876AA"/>
    <w:rsid w:val="00B876C0"/>
    <w:rsid w:val="00B876D3"/>
    <w:rsid w:val="00B87BF9"/>
    <w:rsid w:val="00B87FDF"/>
    <w:rsid w:val="00B90838"/>
    <w:rsid w:val="00B90842"/>
    <w:rsid w:val="00B91454"/>
    <w:rsid w:val="00B916B5"/>
    <w:rsid w:val="00B91B3A"/>
    <w:rsid w:val="00B92625"/>
    <w:rsid w:val="00B92927"/>
    <w:rsid w:val="00B929B2"/>
    <w:rsid w:val="00B94D25"/>
    <w:rsid w:val="00B95435"/>
    <w:rsid w:val="00B95953"/>
    <w:rsid w:val="00B96453"/>
    <w:rsid w:val="00B965AF"/>
    <w:rsid w:val="00B965EA"/>
    <w:rsid w:val="00B96E95"/>
    <w:rsid w:val="00B96FA2"/>
    <w:rsid w:val="00B97045"/>
    <w:rsid w:val="00B9724E"/>
    <w:rsid w:val="00B97370"/>
    <w:rsid w:val="00B974BF"/>
    <w:rsid w:val="00B978D8"/>
    <w:rsid w:val="00BA1089"/>
    <w:rsid w:val="00BA11E6"/>
    <w:rsid w:val="00BA142D"/>
    <w:rsid w:val="00BA1FF6"/>
    <w:rsid w:val="00BA232A"/>
    <w:rsid w:val="00BA2655"/>
    <w:rsid w:val="00BA340C"/>
    <w:rsid w:val="00BA3DD8"/>
    <w:rsid w:val="00BA409F"/>
    <w:rsid w:val="00BA50D4"/>
    <w:rsid w:val="00BA51A2"/>
    <w:rsid w:val="00BA53CF"/>
    <w:rsid w:val="00BA55A5"/>
    <w:rsid w:val="00BA5B4D"/>
    <w:rsid w:val="00BA5D92"/>
    <w:rsid w:val="00BA624F"/>
    <w:rsid w:val="00BA633B"/>
    <w:rsid w:val="00BA65F2"/>
    <w:rsid w:val="00BA6B58"/>
    <w:rsid w:val="00BA70A9"/>
    <w:rsid w:val="00BB034F"/>
    <w:rsid w:val="00BB0AE5"/>
    <w:rsid w:val="00BB137A"/>
    <w:rsid w:val="00BB14E4"/>
    <w:rsid w:val="00BB1A89"/>
    <w:rsid w:val="00BB1C4A"/>
    <w:rsid w:val="00BB1D36"/>
    <w:rsid w:val="00BB20A9"/>
    <w:rsid w:val="00BB220D"/>
    <w:rsid w:val="00BB2227"/>
    <w:rsid w:val="00BB22D9"/>
    <w:rsid w:val="00BB2EE0"/>
    <w:rsid w:val="00BB321A"/>
    <w:rsid w:val="00BB3379"/>
    <w:rsid w:val="00BB3980"/>
    <w:rsid w:val="00BB40E5"/>
    <w:rsid w:val="00BB42E5"/>
    <w:rsid w:val="00BB4713"/>
    <w:rsid w:val="00BB48D0"/>
    <w:rsid w:val="00BB4EAA"/>
    <w:rsid w:val="00BB51E0"/>
    <w:rsid w:val="00BB546F"/>
    <w:rsid w:val="00BB5E06"/>
    <w:rsid w:val="00BB6274"/>
    <w:rsid w:val="00BB6A45"/>
    <w:rsid w:val="00BB71DF"/>
    <w:rsid w:val="00BB782B"/>
    <w:rsid w:val="00BB7D05"/>
    <w:rsid w:val="00BC05D3"/>
    <w:rsid w:val="00BC0ADA"/>
    <w:rsid w:val="00BC0B7F"/>
    <w:rsid w:val="00BC0C38"/>
    <w:rsid w:val="00BC0D64"/>
    <w:rsid w:val="00BC1A9E"/>
    <w:rsid w:val="00BC2D61"/>
    <w:rsid w:val="00BC3C43"/>
    <w:rsid w:val="00BC54B7"/>
    <w:rsid w:val="00BC608C"/>
    <w:rsid w:val="00BC60F5"/>
    <w:rsid w:val="00BC618D"/>
    <w:rsid w:val="00BC6E51"/>
    <w:rsid w:val="00BC6F38"/>
    <w:rsid w:val="00BC78C6"/>
    <w:rsid w:val="00BC7953"/>
    <w:rsid w:val="00BC7F40"/>
    <w:rsid w:val="00BD0077"/>
    <w:rsid w:val="00BD03E9"/>
    <w:rsid w:val="00BD07C0"/>
    <w:rsid w:val="00BD1317"/>
    <w:rsid w:val="00BD133A"/>
    <w:rsid w:val="00BD1FCB"/>
    <w:rsid w:val="00BD2FCA"/>
    <w:rsid w:val="00BD32FB"/>
    <w:rsid w:val="00BD33D6"/>
    <w:rsid w:val="00BD352B"/>
    <w:rsid w:val="00BD354B"/>
    <w:rsid w:val="00BD3E80"/>
    <w:rsid w:val="00BD4EE9"/>
    <w:rsid w:val="00BD5253"/>
    <w:rsid w:val="00BD574F"/>
    <w:rsid w:val="00BD5F89"/>
    <w:rsid w:val="00BD6B06"/>
    <w:rsid w:val="00BD72B6"/>
    <w:rsid w:val="00BD773C"/>
    <w:rsid w:val="00BD7752"/>
    <w:rsid w:val="00BD7E69"/>
    <w:rsid w:val="00BE0C1A"/>
    <w:rsid w:val="00BE0D98"/>
    <w:rsid w:val="00BE160F"/>
    <w:rsid w:val="00BE16E9"/>
    <w:rsid w:val="00BE1824"/>
    <w:rsid w:val="00BE196B"/>
    <w:rsid w:val="00BE1DC2"/>
    <w:rsid w:val="00BE1FC8"/>
    <w:rsid w:val="00BE1FCA"/>
    <w:rsid w:val="00BE246D"/>
    <w:rsid w:val="00BE26EF"/>
    <w:rsid w:val="00BE26FB"/>
    <w:rsid w:val="00BE2AC6"/>
    <w:rsid w:val="00BE2F59"/>
    <w:rsid w:val="00BE3AAC"/>
    <w:rsid w:val="00BE48AD"/>
    <w:rsid w:val="00BE490A"/>
    <w:rsid w:val="00BE5047"/>
    <w:rsid w:val="00BE5355"/>
    <w:rsid w:val="00BE5646"/>
    <w:rsid w:val="00BE56C7"/>
    <w:rsid w:val="00BE56E0"/>
    <w:rsid w:val="00BE5D31"/>
    <w:rsid w:val="00BE5D7A"/>
    <w:rsid w:val="00BE5E17"/>
    <w:rsid w:val="00BE63D9"/>
    <w:rsid w:val="00BE6479"/>
    <w:rsid w:val="00BE7363"/>
    <w:rsid w:val="00BE7372"/>
    <w:rsid w:val="00BE74DF"/>
    <w:rsid w:val="00BE78E4"/>
    <w:rsid w:val="00BF0AFE"/>
    <w:rsid w:val="00BF0CF9"/>
    <w:rsid w:val="00BF0F4A"/>
    <w:rsid w:val="00BF19CB"/>
    <w:rsid w:val="00BF248E"/>
    <w:rsid w:val="00BF2894"/>
    <w:rsid w:val="00BF2A62"/>
    <w:rsid w:val="00BF2C75"/>
    <w:rsid w:val="00BF2FAB"/>
    <w:rsid w:val="00BF34EA"/>
    <w:rsid w:val="00BF3AB2"/>
    <w:rsid w:val="00BF4B11"/>
    <w:rsid w:val="00BF4D64"/>
    <w:rsid w:val="00BF4F57"/>
    <w:rsid w:val="00BF4FAB"/>
    <w:rsid w:val="00BF5469"/>
    <w:rsid w:val="00BF59F8"/>
    <w:rsid w:val="00BF5ADC"/>
    <w:rsid w:val="00BF5AE5"/>
    <w:rsid w:val="00BF6594"/>
    <w:rsid w:val="00BF6909"/>
    <w:rsid w:val="00BF6E71"/>
    <w:rsid w:val="00BF6EDC"/>
    <w:rsid w:val="00BF7DB7"/>
    <w:rsid w:val="00C00736"/>
    <w:rsid w:val="00C00C77"/>
    <w:rsid w:val="00C0169D"/>
    <w:rsid w:val="00C01E16"/>
    <w:rsid w:val="00C033E3"/>
    <w:rsid w:val="00C03F92"/>
    <w:rsid w:val="00C04000"/>
    <w:rsid w:val="00C04BA8"/>
    <w:rsid w:val="00C0563E"/>
    <w:rsid w:val="00C05A0D"/>
    <w:rsid w:val="00C06007"/>
    <w:rsid w:val="00C06EAE"/>
    <w:rsid w:val="00C07227"/>
    <w:rsid w:val="00C07F17"/>
    <w:rsid w:val="00C100A2"/>
    <w:rsid w:val="00C10AA2"/>
    <w:rsid w:val="00C1133E"/>
    <w:rsid w:val="00C119B4"/>
    <w:rsid w:val="00C1221A"/>
    <w:rsid w:val="00C12AB9"/>
    <w:rsid w:val="00C12B30"/>
    <w:rsid w:val="00C13D26"/>
    <w:rsid w:val="00C13FBB"/>
    <w:rsid w:val="00C14BEC"/>
    <w:rsid w:val="00C14D72"/>
    <w:rsid w:val="00C15069"/>
    <w:rsid w:val="00C15703"/>
    <w:rsid w:val="00C157FF"/>
    <w:rsid w:val="00C16A30"/>
    <w:rsid w:val="00C16FAB"/>
    <w:rsid w:val="00C20624"/>
    <w:rsid w:val="00C20ECD"/>
    <w:rsid w:val="00C21143"/>
    <w:rsid w:val="00C21AAD"/>
    <w:rsid w:val="00C2201F"/>
    <w:rsid w:val="00C23DE3"/>
    <w:rsid w:val="00C23FEA"/>
    <w:rsid w:val="00C2493D"/>
    <w:rsid w:val="00C25B12"/>
    <w:rsid w:val="00C25D95"/>
    <w:rsid w:val="00C269E2"/>
    <w:rsid w:val="00C26AEE"/>
    <w:rsid w:val="00C26BA9"/>
    <w:rsid w:val="00C26D1E"/>
    <w:rsid w:val="00C27958"/>
    <w:rsid w:val="00C27E14"/>
    <w:rsid w:val="00C310ED"/>
    <w:rsid w:val="00C31C26"/>
    <w:rsid w:val="00C31D1D"/>
    <w:rsid w:val="00C326F9"/>
    <w:rsid w:val="00C328A6"/>
    <w:rsid w:val="00C32DE7"/>
    <w:rsid w:val="00C33724"/>
    <w:rsid w:val="00C33B2B"/>
    <w:rsid w:val="00C34491"/>
    <w:rsid w:val="00C34CDF"/>
    <w:rsid w:val="00C34D54"/>
    <w:rsid w:val="00C34E95"/>
    <w:rsid w:val="00C35BC0"/>
    <w:rsid w:val="00C35BE7"/>
    <w:rsid w:val="00C35D63"/>
    <w:rsid w:val="00C35E3F"/>
    <w:rsid w:val="00C36EC8"/>
    <w:rsid w:val="00C3735B"/>
    <w:rsid w:val="00C37E7E"/>
    <w:rsid w:val="00C400E8"/>
    <w:rsid w:val="00C40114"/>
    <w:rsid w:val="00C40413"/>
    <w:rsid w:val="00C41B31"/>
    <w:rsid w:val="00C41B8F"/>
    <w:rsid w:val="00C41BB7"/>
    <w:rsid w:val="00C41C05"/>
    <w:rsid w:val="00C43652"/>
    <w:rsid w:val="00C43AF2"/>
    <w:rsid w:val="00C43D00"/>
    <w:rsid w:val="00C4435B"/>
    <w:rsid w:val="00C4481F"/>
    <w:rsid w:val="00C44D8D"/>
    <w:rsid w:val="00C454F4"/>
    <w:rsid w:val="00C45525"/>
    <w:rsid w:val="00C45DE7"/>
    <w:rsid w:val="00C46095"/>
    <w:rsid w:val="00C46764"/>
    <w:rsid w:val="00C46921"/>
    <w:rsid w:val="00C469AB"/>
    <w:rsid w:val="00C470DC"/>
    <w:rsid w:val="00C47166"/>
    <w:rsid w:val="00C47BE2"/>
    <w:rsid w:val="00C5018F"/>
    <w:rsid w:val="00C50553"/>
    <w:rsid w:val="00C510B5"/>
    <w:rsid w:val="00C51213"/>
    <w:rsid w:val="00C52335"/>
    <w:rsid w:val="00C52422"/>
    <w:rsid w:val="00C524FF"/>
    <w:rsid w:val="00C531F4"/>
    <w:rsid w:val="00C53380"/>
    <w:rsid w:val="00C539C1"/>
    <w:rsid w:val="00C53D2B"/>
    <w:rsid w:val="00C54080"/>
    <w:rsid w:val="00C547DE"/>
    <w:rsid w:val="00C54A4C"/>
    <w:rsid w:val="00C55B7C"/>
    <w:rsid w:val="00C55DAB"/>
    <w:rsid w:val="00C55ECE"/>
    <w:rsid w:val="00C566B4"/>
    <w:rsid w:val="00C56C31"/>
    <w:rsid w:val="00C56F16"/>
    <w:rsid w:val="00C57271"/>
    <w:rsid w:val="00C57778"/>
    <w:rsid w:val="00C60011"/>
    <w:rsid w:val="00C60C6F"/>
    <w:rsid w:val="00C6130B"/>
    <w:rsid w:val="00C61516"/>
    <w:rsid w:val="00C6157B"/>
    <w:rsid w:val="00C617D4"/>
    <w:rsid w:val="00C62641"/>
    <w:rsid w:val="00C62675"/>
    <w:rsid w:val="00C62D30"/>
    <w:rsid w:val="00C62F86"/>
    <w:rsid w:val="00C6358A"/>
    <w:rsid w:val="00C636DC"/>
    <w:rsid w:val="00C6378A"/>
    <w:rsid w:val="00C63ABB"/>
    <w:rsid w:val="00C63C6F"/>
    <w:rsid w:val="00C64C74"/>
    <w:rsid w:val="00C65A73"/>
    <w:rsid w:val="00C65C08"/>
    <w:rsid w:val="00C65C15"/>
    <w:rsid w:val="00C6691B"/>
    <w:rsid w:val="00C66957"/>
    <w:rsid w:val="00C66F84"/>
    <w:rsid w:val="00C679E3"/>
    <w:rsid w:val="00C67A81"/>
    <w:rsid w:val="00C703C6"/>
    <w:rsid w:val="00C7056A"/>
    <w:rsid w:val="00C7085D"/>
    <w:rsid w:val="00C712A3"/>
    <w:rsid w:val="00C7220A"/>
    <w:rsid w:val="00C72CBA"/>
    <w:rsid w:val="00C733D4"/>
    <w:rsid w:val="00C73E1E"/>
    <w:rsid w:val="00C7428C"/>
    <w:rsid w:val="00C74426"/>
    <w:rsid w:val="00C74C4F"/>
    <w:rsid w:val="00C74DE4"/>
    <w:rsid w:val="00C7586B"/>
    <w:rsid w:val="00C75BBF"/>
    <w:rsid w:val="00C765C5"/>
    <w:rsid w:val="00C76EDA"/>
    <w:rsid w:val="00C77DA2"/>
    <w:rsid w:val="00C77EA3"/>
    <w:rsid w:val="00C80417"/>
    <w:rsid w:val="00C81B0F"/>
    <w:rsid w:val="00C81FF3"/>
    <w:rsid w:val="00C82039"/>
    <w:rsid w:val="00C822F4"/>
    <w:rsid w:val="00C825A1"/>
    <w:rsid w:val="00C82A41"/>
    <w:rsid w:val="00C82E1F"/>
    <w:rsid w:val="00C83634"/>
    <w:rsid w:val="00C842DC"/>
    <w:rsid w:val="00C856D4"/>
    <w:rsid w:val="00C85727"/>
    <w:rsid w:val="00C85954"/>
    <w:rsid w:val="00C862C9"/>
    <w:rsid w:val="00C87CEE"/>
    <w:rsid w:val="00C87DE9"/>
    <w:rsid w:val="00C90492"/>
    <w:rsid w:val="00C90ECB"/>
    <w:rsid w:val="00C918AD"/>
    <w:rsid w:val="00C91A70"/>
    <w:rsid w:val="00C91E8C"/>
    <w:rsid w:val="00C92311"/>
    <w:rsid w:val="00C92C7C"/>
    <w:rsid w:val="00C930F1"/>
    <w:rsid w:val="00C934F6"/>
    <w:rsid w:val="00C9452D"/>
    <w:rsid w:val="00C94927"/>
    <w:rsid w:val="00C94D33"/>
    <w:rsid w:val="00C94D9A"/>
    <w:rsid w:val="00C94E03"/>
    <w:rsid w:val="00C94EF0"/>
    <w:rsid w:val="00C952C9"/>
    <w:rsid w:val="00C95436"/>
    <w:rsid w:val="00C96B88"/>
    <w:rsid w:val="00C9770F"/>
    <w:rsid w:val="00C97800"/>
    <w:rsid w:val="00C97A80"/>
    <w:rsid w:val="00C97FF1"/>
    <w:rsid w:val="00CA01C7"/>
    <w:rsid w:val="00CA0A45"/>
    <w:rsid w:val="00CA0AC8"/>
    <w:rsid w:val="00CA1128"/>
    <w:rsid w:val="00CA180D"/>
    <w:rsid w:val="00CA1A85"/>
    <w:rsid w:val="00CA34EA"/>
    <w:rsid w:val="00CA3753"/>
    <w:rsid w:val="00CA44E9"/>
    <w:rsid w:val="00CA4D12"/>
    <w:rsid w:val="00CA59F2"/>
    <w:rsid w:val="00CA64B0"/>
    <w:rsid w:val="00CA6B97"/>
    <w:rsid w:val="00CA756B"/>
    <w:rsid w:val="00CA7E73"/>
    <w:rsid w:val="00CB04A4"/>
    <w:rsid w:val="00CB0581"/>
    <w:rsid w:val="00CB06C2"/>
    <w:rsid w:val="00CB07C7"/>
    <w:rsid w:val="00CB07D3"/>
    <w:rsid w:val="00CB12DC"/>
    <w:rsid w:val="00CB15E0"/>
    <w:rsid w:val="00CB15F3"/>
    <w:rsid w:val="00CB20BA"/>
    <w:rsid w:val="00CB28D6"/>
    <w:rsid w:val="00CB3B3B"/>
    <w:rsid w:val="00CB4BAA"/>
    <w:rsid w:val="00CB520C"/>
    <w:rsid w:val="00CB5246"/>
    <w:rsid w:val="00CB5AE0"/>
    <w:rsid w:val="00CB5DE3"/>
    <w:rsid w:val="00CB6407"/>
    <w:rsid w:val="00CB6629"/>
    <w:rsid w:val="00CB7785"/>
    <w:rsid w:val="00CB7A39"/>
    <w:rsid w:val="00CB7BD1"/>
    <w:rsid w:val="00CC0328"/>
    <w:rsid w:val="00CC0C20"/>
    <w:rsid w:val="00CC1923"/>
    <w:rsid w:val="00CC1C69"/>
    <w:rsid w:val="00CC1D4B"/>
    <w:rsid w:val="00CC225B"/>
    <w:rsid w:val="00CC2B4C"/>
    <w:rsid w:val="00CC2C0E"/>
    <w:rsid w:val="00CC2FE3"/>
    <w:rsid w:val="00CC3173"/>
    <w:rsid w:val="00CC32E1"/>
    <w:rsid w:val="00CC45C7"/>
    <w:rsid w:val="00CC47EB"/>
    <w:rsid w:val="00CC525D"/>
    <w:rsid w:val="00CC5531"/>
    <w:rsid w:val="00CC5779"/>
    <w:rsid w:val="00CC596D"/>
    <w:rsid w:val="00CC63FA"/>
    <w:rsid w:val="00CC6C3D"/>
    <w:rsid w:val="00CC6DBD"/>
    <w:rsid w:val="00CC71CB"/>
    <w:rsid w:val="00CC7AEA"/>
    <w:rsid w:val="00CC7BAB"/>
    <w:rsid w:val="00CC7F6D"/>
    <w:rsid w:val="00CD0373"/>
    <w:rsid w:val="00CD071F"/>
    <w:rsid w:val="00CD13E4"/>
    <w:rsid w:val="00CD168C"/>
    <w:rsid w:val="00CD1D0B"/>
    <w:rsid w:val="00CD269D"/>
    <w:rsid w:val="00CD26B0"/>
    <w:rsid w:val="00CD2752"/>
    <w:rsid w:val="00CD29F3"/>
    <w:rsid w:val="00CD2B0C"/>
    <w:rsid w:val="00CD2CA4"/>
    <w:rsid w:val="00CD2EEC"/>
    <w:rsid w:val="00CD35E2"/>
    <w:rsid w:val="00CD360F"/>
    <w:rsid w:val="00CD3704"/>
    <w:rsid w:val="00CD3795"/>
    <w:rsid w:val="00CD37B7"/>
    <w:rsid w:val="00CD39FD"/>
    <w:rsid w:val="00CD3F18"/>
    <w:rsid w:val="00CD4B58"/>
    <w:rsid w:val="00CD4CCF"/>
    <w:rsid w:val="00CD6EF8"/>
    <w:rsid w:val="00CD70FA"/>
    <w:rsid w:val="00CE058F"/>
    <w:rsid w:val="00CE113E"/>
    <w:rsid w:val="00CE13E1"/>
    <w:rsid w:val="00CE1AB6"/>
    <w:rsid w:val="00CE1FC9"/>
    <w:rsid w:val="00CE2F13"/>
    <w:rsid w:val="00CE3BDC"/>
    <w:rsid w:val="00CE4AC6"/>
    <w:rsid w:val="00CE4E8D"/>
    <w:rsid w:val="00CE5551"/>
    <w:rsid w:val="00CE62D0"/>
    <w:rsid w:val="00CE7307"/>
    <w:rsid w:val="00CE76F6"/>
    <w:rsid w:val="00CE7915"/>
    <w:rsid w:val="00CE7D6E"/>
    <w:rsid w:val="00CE7E41"/>
    <w:rsid w:val="00CF007E"/>
    <w:rsid w:val="00CF02A2"/>
    <w:rsid w:val="00CF03CD"/>
    <w:rsid w:val="00CF05B6"/>
    <w:rsid w:val="00CF0657"/>
    <w:rsid w:val="00CF06D8"/>
    <w:rsid w:val="00CF09A9"/>
    <w:rsid w:val="00CF0C1E"/>
    <w:rsid w:val="00CF13D8"/>
    <w:rsid w:val="00CF14F5"/>
    <w:rsid w:val="00CF1B0E"/>
    <w:rsid w:val="00CF26DC"/>
    <w:rsid w:val="00CF2A96"/>
    <w:rsid w:val="00CF3576"/>
    <w:rsid w:val="00CF36C0"/>
    <w:rsid w:val="00CF385E"/>
    <w:rsid w:val="00CF3C79"/>
    <w:rsid w:val="00CF400C"/>
    <w:rsid w:val="00CF4652"/>
    <w:rsid w:val="00CF4660"/>
    <w:rsid w:val="00CF47A7"/>
    <w:rsid w:val="00CF4F8C"/>
    <w:rsid w:val="00CF59E0"/>
    <w:rsid w:val="00CF6588"/>
    <w:rsid w:val="00CF667D"/>
    <w:rsid w:val="00CF676B"/>
    <w:rsid w:val="00CF6A8F"/>
    <w:rsid w:val="00CF6C32"/>
    <w:rsid w:val="00CF6E6E"/>
    <w:rsid w:val="00CF7F6B"/>
    <w:rsid w:val="00D00162"/>
    <w:rsid w:val="00D001AC"/>
    <w:rsid w:val="00D00E10"/>
    <w:rsid w:val="00D011B4"/>
    <w:rsid w:val="00D013B0"/>
    <w:rsid w:val="00D0173D"/>
    <w:rsid w:val="00D01A63"/>
    <w:rsid w:val="00D01B3D"/>
    <w:rsid w:val="00D01E27"/>
    <w:rsid w:val="00D024C2"/>
    <w:rsid w:val="00D034D3"/>
    <w:rsid w:val="00D0359D"/>
    <w:rsid w:val="00D039FC"/>
    <w:rsid w:val="00D03B04"/>
    <w:rsid w:val="00D03F1C"/>
    <w:rsid w:val="00D0450E"/>
    <w:rsid w:val="00D049E9"/>
    <w:rsid w:val="00D04BBE"/>
    <w:rsid w:val="00D04CDC"/>
    <w:rsid w:val="00D04D70"/>
    <w:rsid w:val="00D0546C"/>
    <w:rsid w:val="00D056AC"/>
    <w:rsid w:val="00D059A4"/>
    <w:rsid w:val="00D05C78"/>
    <w:rsid w:val="00D05F03"/>
    <w:rsid w:val="00D07755"/>
    <w:rsid w:val="00D07BCD"/>
    <w:rsid w:val="00D10373"/>
    <w:rsid w:val="00D104B4"/>
    <w:rsid w:val="00D1096C"/>
    <w:rsid w:val="00D10EB3"/>
    <w:rsid w:val="00D115D4"/>
    <w:rsid w:val="00D11CA5"/>
    <w:rsid w:val="00D11CB6"/>
    <w:rsid w:val="00D132CF"/>
    <w:rsid w:val="00D13E90"/>
    <w:rsid w:val="00D14A1C"/>
    <w:rsid w:val="00D151F7"/>
    <w:rsid w:val="00D16366"/>
    <w:rsid w:val="00D1689E"/>
    <w:rsid w:val="00D16B7E"/>
    <w:rsid w:val="00D16D94"/>
    <w:rsid w:val="00D16DAD"/>
    <w:rsid w:val="00D17267"/>
    <w:rsid w:val="00D173AE"/>
    <w:rsid w:val="00D17A10"/>
    <w:rsid w:val="00D20389"/>
    <w:rsid w:val="00D20950"/>
    <w:rsid w:val="00D214F5"/>
    <w:rsid w:val="00D2167B"/>
    <w:rsid w:val="00D21847"/>
    <w:rsid w:val="00D21C82"/>
    <w:rsid w:val="00D2237B"/>
    <w:rsid w:val="00D22609"/>
    <w:rsid w:val="00D24AC1"/>
    <w:rsid w:val="00D251D8"/>
    <w:rsid w:val="00D25560"/>
    <w:rsid w:val="00D25729"/>
    <w:rsid w:val="00D25A1C"/>
    <w:rsid w:val="00D25CB0"/>
    <w:rsid w:val="00D266E6"/>
    <w:rsid w:val="00D2769C"/>
    <w:rsid w:val="00D278D9"/>
    <w:rsid w:val="00D27F1C"/>
    <w:rsid w:val="00D303DE"/>
    <w:rsid w:val="00D3102E"/>
    <w:rsid w:val="00D313D3"/>
    <w:rsid w:val="00D31A7C"/>
    <w:rsid w:val="00D3270A"/>
    <w:rsid w:val="00D32C13"/>
    <w:rsid w:val="00D3343F"/>
    <w:rsid w:val="00D33A33"/>
    <w:rsid w:val="00D3413F"/>
    <w:rsid w:val="00D342BB"/>
    <w:rsid w:val="00D3437D"/>
    <w:rsid w:val="00D348BA"/>
    <w:rsid w:val="00D34CDD"/>
    <w:rsid w:val="00D35228"/>
    <w:rsid w:val="00D35626"/>
    <w:rsid w:val="00D35F54"/>
    <w:rsid w:val="00D372ED"/>
    <w:rsid w:val="00D37D19"/>
    <w:rsid w:val="00D4017C"/>
    <w:rsid w:val="00D404FD"/>
    <w:rsid w:val="00D41318"/>
    <w:rsid w:val="00D41841"/>
    <w:rsid w:val="00D420E5"/>
    <w:rsid w:val="00D4257C"/>
    <w:rsid w:val="00D425FC"/>
    <w:rsid w:val="00D434B1"/>
    <w:rsid w:val="00D43B29"/>
    <w:rsid w:val="00D44245"/>
    <w:rsid w:val="00D444E4"/>
    <w:rsid w:val="00D44958"/>
    <w:rsid w:val="00D464ED"/>
    <w:rsid w:val="00D46832"/>
    <w:rsid w:val="00D4708B"/>
    <w:rsid w:val="00D472A7"/>
    <w:rsid w:val="00D473A7"/>
    <w:rsid w:val="00D47878"/>
    <w:rsid w:val="00D47D68"/>
    <w:rsid w:val="00D5037F"/>
    <w:rsid w:val="00D50686"/>
    <w:rsid w:val="00D50BD2"/>
    <w:rsid w:val="00D51523"/>
    <w:rsid w:val="00D51663"/>
    <w:rsid w:val="00D51732"/>
    <w:rsid w:val="00D524C9"/>
    <w:rsid w:val="00D525D1"/>
    <w:rsid w:val="00D52EDE"/>
    <w:rsid w:val="00D53BA9"/>
    <w:rsid w:val="00D54131"/>
    <w:rsid w:val="00D54486"/>
    <w:rsid w:val="00D54D3F"/>
    <w:rsid w:val="00D55040"/>
    <w:rsid w:val="00D561F8"/>
    <w:rsid w:val="00D57065"/>
    <w:rsid w:val="00D57248"/>
    <w:rsid w:val="00D57280"/>
    <w:rsid w:val="00D61041"/>
    <w:rsid w:val="00D612BF"/>
    <w:rsid w:val="00D61A28"/>
    <w:rsid w:val="00D61F04"/>
    <w:rsid w:val="00D625D3"/>
    <w:rsid w:val="00D62F1D"/>
    <w:rsid w:val="00D6395E"/>
    <w:rsid w:val="00D63DA2"/>
    <w:rsid w:val="00D64D90"/>
    <w:rsid w:val="00D64E85"/>
    <w:rsid w:val="00D65165"/>
    <w:rsid w:val="00D658EC"/>
    <w:rsid w:val="00D6595B"/>
    <w:rsid w:val="00D65BBA"/>
    <w:rsid w:val="00D65EC0"/>
    <w:rsid w:val="00D664FD"/>
    <w:rsid w:val="00D66B59"/>
    <w:rsid w:val="00D66E92"/>
    <w:rsid w:val="00D672F4"/>
    <w:rsid w:val="00D67752"/>
    <w:rsid w:val="00D67BAC"/>
    <w:rsid w:val="00D67CA0"/>
    <w:rsid w:val="00D70288"/>
    <w:rsid w:val="00D702A3"/>
    <w:rsid w:val="00D702F3"/>
    <w:rsid w:val="00D70695"/>
    <w:rsid w:val="00D708B3"/>
    <w:rsid w:val="00D708F0"/>
    <w:rsid w:val="00D71038"/>
    <w:rsid w:val="00D712ED"/>
    <w:rsid w:val="00D7196A"/>
    <w:rsid w:val="00D71C0A"/>
    <w:rsid w:val="00D7243B"/>
    <w:rsid w:val="00D73677"/>
    <w:rsid w:val="00D73847"/>
    <w:rsid w:val="00D73927"/>
    <w:rsid w:val="00D74318"/>
    <w:rsid w:val="00D74408"/>
    <w:rsid w:val="00D74762"/>
    <w:rsid w:val="00D749DD"/>
    <w:rsid w:val="00D75069"/>
    <w:rsid w:val="00D7533B"/>
    <w:rsid w:val="00D756B5"/>
    <w:rsid w:val="00D75F3D"/>
    <w:rsid w:val="00D76A37"/>
    <w:rsid w:val="00D76CF1"/>
    <w:rsid w:val="00D76FC2"/>
    <w:rsid w:val="00D770BE"/>
    <w:rsid w:val="00D77936"/>
    <w:rsid w:val="00D80773"/>
    <w:rsid w:val="00D80918"/>
    <w:rsid w:val="00D80EB2"/>
    <w:rsid w:val="00D8123C"/>
    <w:rsid w:val="00D815CB"/>
    <w:rsid w:val="00D81BFB"/>
    <w:rsid w:val="00D8215D"/>
    <w:rsid w:val="00D822DD"/>
    <w:rsid w:val="00D8244C"/>
    <w:rsid w:val="00D82C77"/>
    <w:rsid w:val="00D83AAE"/>
    <w:rsid w:val="00D83E80"/>
    <w:rsid w:val="00D84065"/>
    <w:rsid w:val="00D842CA"/>
    <w:rsid w:val="00D8474E"/>
    <w:rsid w:val="00D848F6"/>
    <w:rsid w:val="00D859A2"/>
    <w:rsid w:val="00D8650C"/>
    <w:rsid w:val="00D86603"/>
    <w:rsid w:val="00D868A1"/>
    <w:rsid w:val="00D86F92"/>
    <w:rsid w:val="00D86FD2"/>
    <w:rsid w:val="00D86FEA"/>
    <w:rsid w:val="00D86FFF"/>
    <w:rsid w:val="00D87729"/>
    <w:rsid w:val="00D87768"/>
    <w:rsid w:val="00D900CE"/>
    <w:rsid w:val="00D90A94"/>
    <w:rsid w:val="00D90D18"/>
    <w:rsid w:val="00D90D58"/>
    <w:rsid w:val="00D9103F"/>
    <w:rsid w:val="00D910D3"/>
    <w:rsid w:val="00D912C4"/>
    <w:rsid w:val="00D91363"/>
    <w:rsid w:val="00D9183E"/>
    <w:rsid w:val="00D9198F"/>
    <w:rsid w:val="00D920BF"/>
    <w:rsid w:val="00D92219"/>
    <w:rsid w:val="00D925BE"/>
    <w:rsid w:val="00D92AB7"/>
    <w:rsid w:val="00D92E0C"/>
    <w:rsid w:val="00D93A19"/>
    <w:rsid w:val="00D94105"/>
    <w:rsid w:val="00D943BD"/>
    <w:rsid w:val="00D9503E"/>
    <w:rsid w:val="00D950D3"/>
    <w:rsid w:val="00D95995"/>
    <w:rsid w:val="00D95AEF"/>
    <w:rsid w:val="00D95D67"/>
    <w:rsid w:val="00D95DC4"/>
    <w:rsid w:val="00D96B8C"/>
    <w:rsid w:val="00D979A7"/>
    <w:rsid w:val="00D97E1A"/>
    <w:rsid w:val="00DA047B"/>
    <w:rsid w:val="00DA0675"/>
    <w:rsid w:val="00DA0752"/>
    <w:rsid w:val="00DA078C"/>
    <w:rsid w:val="00DA07B2"/>
    <w:rsid w:val="00DA086B"/>
    <w:rsid w:val="00DA0F56"/>
    <w:rsid w:val="00DA1C72"/>
    <w:rsid w:val="00DA1CE6"/>
    <w:rsid w:val="00DA1E91"/>
    <w:rsid w:val="00DA236D"/>
    <w:rsid w:val="00DA23A4"/>
    <w:rsid w:val="00DA2414"/>
    <w:rsid w:val="00DA271A"/>
    <w:rsid w:val="00DA3281"/>
    <w:rsid w:val="00DA48DC"/>
    <w:rsid w:val="00DA48ED"/>
    <w:rsid w:val="00DA4AF6"/>
    <w:rsid w:val="00DA4EDD"/>
    <w:rsid w:val="00DA53B3"/>
    <w:rsid w:val="00DA5FD1"/>
    <w:rsid w:val="00DA64CF"/>
    <w:rsid w:val="00DA66CD"/>
    <w:rsid w:val="00DA6922"/>
    <w:rsid w:val="00DA6956"/>
    <w:rsid w:val="00DA6D49"/>
    <w:rsid w:val="00DA71A9"/>
    <w:rsid w:val="00DA73F9"/>
    <w:rsid w:val="00DA7BA4"/>
    <w:rsid w:val="00DB05C8"/>
    <w:rsid w:val="00DB06F0"/>
    <w:rsid w:val="00DB0CDC"/>
    <w:rsid w:val="00DB1104"/>
    <w:rsid w:val="00DB1863"/>
    <w:rsid w:val="00DB1C01"/>
    <w:rsid w:val="00DB1EB4"/>
    <w:rsid w:val="00DB217F"/>
    <w:rsid w:val="00DB318E"/>
    <w:rsid w:val="00DB378E"/>
    <w:rsid w:val="00DB3F58"/>
    <w:rsid w:val="00DB4880"/>
    <w:rsid w:val="00DB636B"/>
    <w:rsid w:val="00DB6379"/>
    <w:rsid w:val="00DB7052"/>
    <w:rsid w:val="00DB75F7"/>
    <w:rsid w:val="00DB7D00"/>
    <w:rsid w:val="00DC083A"/>
    <w:rsid w:val="00DC0A46"/>
    <w:rsid w:val="00DC0B7D"/>
    <w:rsid w:val="00DC0D73"/>
    <w:rsid w:val="00DC14D7"/>
    <w:rsid w:val="00DC154D"/>
    <w:rsid w:val="00DC17D6"/>
    <w:rsid w:val="00DC185B"/>
    <w:rsid w:val="00DC1E98"/>
    <w:rsid w:val="00DC25F0"/>
    <w:rsid w:val="00DC3529"/>
    <w:rsid w:val="00DC38FB"/>
    <w:rsid w:val="00DC3EDC"/>
    <w:rsid w:val="00DC4551"/>
    <w:rsid w:val="00DC4671"/>
    <w:rsid w:val="00DC4A28"/>
    <w:rsid w:val="00DC4D36"/>
    <w:rsid w:val="00DC5266"/>
    <w:rsid w:val="00DC5897"/>
    <w:rsid w:val="00DC59AE"/>
    <w:rsid w:val="00DC5AC2"/>
    <w:rsid w:val="00DC65FD"/>
    <w:rsid w:val="00DC7555"/>
    <w:rsid w:val="00DC7B40"/>
    <w:rsid w:val="00DC7BEF"/>
    <w:rsid w:val="00DD0151"/>
    <w:rsid w:val="00DD03D2"/>
    <w:rsid w:val="00DD0515"/>
    <w:rsid w:val="00DD0707"/>
    <w:rsid w:val="00DD0A33"/>
    <w:rsid w:val="00DD0E6D"/>
    <w:rsid w:val="00DD2939"/>
    <w:rsid w:val="00DD3F8B"/>
    <w:rsid w:val="00DD4610"/>
    <w:rsid w:val="00DD46AE"/>
    <w:rsid w:val="00DD5A16"/>
    <w:rsid w:val="00DD5EAB"/>
    <w:rsid w:val="00DD61B7"/>
    <w:rsid w:val="00DD62C0"/>
    <w:rsid w:val="00DD67ED"/>
    <w:rsid w:val="00DD6CB8"/>
    <w:rsid w:val="00DD7203"/>
    <w:rsid w:val="00DD74EC"/>
    <w:rsid w:val="00DD787D"/>
    <w:rsid w:val="00DD7F1E"/>
    <w:rsid w:val="00DD7F67"/>
    <w:rsid w:val="00DE0032"/>
    <w:rsid w:val="00DE0935"/>
    <w:rsid w:val="00DE0E73"/>
    <w:rsid w:val="00DE0F08"/>
    <w:rsid w:val="00DE0FA8"/>
    <w:rsid w:val="00DE0FC8"/>
    <w:rsid w:val="00DE13D9"/>
    <w:rsid w:val="00DE1742"/>
    <w:rsid w:val="00DE1A73"/>
    <w:rsid w:val="00DE1B13"/>
    <w:rsid w:val="00DE21A7"/>
    <w:rsid w:val="00DE24D6"/>
    <w:rsid w:val="00DE2C18"/>
    <w:rsid w:val="00DE324C"/>
    <w:rsid w:val="00DE350F"/>
    <w:rsid w:val="00DE3529"/>
    <w:rsid w:val="00DE3643"/>
    <w:rsid w:val="00DE3BAF"/>
    <w:rsid w:val="00DE4229"/>
    <w:rsid w:val="00DE46A5"/>
    <w:rsid w:val="00DE4845"/>
    <w:rsid w:val="00DE5030"/>
    <w:rsid w:val="00DE50DD"/>
    <w:rsid w:val="00DE6CE7"/>
    <w:rsid w:val="00DE74C3"/>
    <w:rsid w:val="00DE7656"/>
    <w:rsid w:val="00DE7B94"/>
    <w:rsid w:val="00DE7B97"/>
    <w:rsid w:val="00DE7CBB"/>
    <w:rsid w:val="00DE7F41"/>
    <w:rsid w:val="00DF0474"/>
    <w:rsid w:val="00DF0B52"/>
    <w:rsid w:val="00DF1A3D"/>
    <w:rsid w:val="00DF26AA"/>
    <w:rsid w:val="00DF28B7"/>
    <w:rsid w:val="00DF28D8"/>
    <w:rsid w:val="00DF3101"/>
    <w:rsid w:val="00DF3130"/>
    <w:rsid w:val="00DF31FE"/>
    <w:rsid w:val="00DF35C6"/>
    <w:rsid w:val="00DF3645"/>
    <w:rsid w:val="00DF3AC7"/>
    <w:rsid w:val="00DF4801"/>
    <w:rsid w:val="00DF4854"/>
    <w:rsid w:val="00DF4B54"/>
    <w:rsid w:val="00DF508C"/>
    <w:rsid w:val="00DF60E8"/>
    <w:rsid w:val="00DF6B99"/>
    <w:rsid w:val="00E00941"/>
    <w:rsid w:val="00E01363"/>
    <w:rsid w:val="00E01451"/>
    <w:rsid w:val="00E01619"/>
    <w:rsid w:val="00E01CC0"/>
    <w:rsid w:val="00E02543"/>
    <w:rsid w:val="00E0271A"/>
    <w:rsid w:val="00E02750"/>
    <w:rsid w:val="00E02CF7"/>
    <w:rsid w:val="00E03037"/>
    <w:rsid w:val="00E030EC"/>
    <w:rsid w:val="00E0331F"/>
    <w:rsid w:val="00E033D2"/>
    <w:rsid w:val="00E03C8B"/>
    <w:rsid w:val="00E042F9"/>
    <w:rsid w:val="00E0632C"/>
    <w:rsid w:val="00E06C5C"/>
    <w:rsid w:val="00E06E16"/>
    <w:rsid w:val="00E06F89"/>
    <w:rsid w:val="00E0772D"/>
    <w:rsid w:val="00E07FB0"/>
    <w:rsid w:val="00E1096D"/>
    <w:rsid w:val="00E117DD"/>
    <w:rsid w:val="00E1223E"/>
    <w:rsid w:val="00E12BAD"/>
    <w:rsid w:val="00E14AD5"/>
    <w:rsid w:val="00E1668E"/>
    <w:rsid w:val="00E16D44"/>
    <w:rsid w:val="00E1761E"/>
    <w:rsid w:val="00E209B1"/>
    <w:rsid w:val="00E20BF4"/>
    <w:rsid w:val="00E20D00"/>
    <w:rsid w:val="00E21DC9"/>
    <w:rsid w:val="00E21F64"/>
    <w:rsid w:val="00E2224A"/>
    <w:rsid w:val="00E22928"/>
    <w:rsid w:val="00E22A62"/>
    <w:rsid w:val="00E22AEE"/>
    <w:rsid w:val="00E23384"/>
    <w:rsid w:val="00E23890"/>
    <w:rsid w:val="00E23A9D"/>
    <w:rsid w:val="00E23E2B"/>
    <w:rsid w:val="00E23F39"/>
    <w:rsid w:val="00E2485E"/>
    <w:rsid w:val="00E24A4A"/>
    <w:rsid w:val="00E25297"/>
    <w:rsid w:val="00E252AF"/>
    <w:rsid w:val="00E263BD"/>
    <w:rsid w:val="00E26688"/>
    <w:rsid w:val="00E26ACD"/>
    <w:rsid w:val="00E26FD4"/>
    <w:rsid w:val="00E2720E"/>
    <w:rsid w:val="00E276C9"/>
    <w:rsid w:val="00E301AE"/>
    <w:rsid w:val="00E30203"/>
    <w:rsid w:val="00E3085B"/>
    <w:rsid w:val="00E30DD7"/>
    <w:rsid w:val="00E31070"/>
    <w:rsid w:val="00E311E9"/>
    <w:rsid w:val="00E312D4"/>
    <w:rsid w:val="00E32334"/>
    <w:rsid w:val="00E3253D"/>
    <w:rsid w:val="00E325AB"/>
    <w:rsid w:val="00E32C4D"/>
    <w:rsid w:val="00E32ED9"/>
    <w:rsid w:val="00E334B7"/>
    <w:rsid w:val="00E33948"/>
    <w:rsid w:val="00E33D4E"/>
    <w:rsid w:val="00E35163"/>
    <w:rsid w:val="00E35524"/>
    <w:rsid w:val="00E35767"/>
    <w:rsid w:val="00E36163"/>
    <w:rsid w:val="00E3665F"/>
    <w:rsid w:val="00E36732"/>
    <w:rsid w:val="00E36E0A"/>
    <w:rsid w:val="00E374A3"/>
    <w:rsid w:val="00E376A4"/>
    <w:rsid w:val="00E37FC5"/>
    <w:rsid w:val="00E402C5"/>
    <w:rsid w:val="00E404ED"/>
    <w:rsid w:val="00E405D0"/>
    <w:rsid w:val="00E4111B"/>
    <w:rsid w:val="00E42FEF"/>
    <w:rsid w:val="00E4318A"/>
    <w:rsid w:val="00E436A7"/>
    <w:rsid w:val="00E436C5"/>
    <w:rsid w:val="00E43F08"/>
    <w:rsid w:val="00E43FCE"/>
    <w:rsid w:val="00E444DA"/>
    <w:rsid w:val="00E46C47"/>
    <w:rsid w:val="00E46FAA"/>
    <w:rsid w:val="00E47191"/>
    <w:rsid w:val="00E4726F"/>
    <w:rsid w:val="00E47627"/>
    <w:rsid w:val="00E509B2"/>
    <w:rsid w:val="00E50E3C"/>
    <w:rsid w:val="00E514C9"/>
    <w:rsid w:val="00E51C0B"/>
    <w:rsid w:val="00E51C9D"/>
    <w:rsid w:val="00E52FC5"/>
    <w:rsid w:val="00E5483C"/>
    <w:rsid w:val="00E5496C"/>
    <w:rsid w:val="00E54EE6"/>
    <w:rsid w:val="00E55B83"/>
    <w:rsid w:val="00E5652B"/>
    <w:rsid w:val="00E56C22"/>
    <w:rsid w:val="00E57458"/>
    <w:rsid w:val="00E57930"/>
    <w:rsid w:val="00E600C1"/>
    <w:rsid w:val="00E60C88"/>
    <w:rsid w:val="00E617A2"/>
    <w:rsid w:val="00E623C7"/>
    <w:rsid w:val="00E6279D"/>
    <w:rsid w:val="00E63437"/>
    <w:rsid w:val="00E635FC"/>
    <w:rsid w:val="00E64E1B"/>
    <w:rsid w:val="00E6589E"/>
    <w:rsid w:val="00E673E1"/>
    <w:rsid w:val="00E67EC0"/>
    <w:rsid w:val="00E70031"/>
    <w:rsid w:val="00E70535"/>
    <w:rsid w:val="00E7100D"/>
    <w:rsid w:val="00E719F5"/>
    <w:rsid w:val="00E71A53"/>
    <w:rsid w:val="00E71ABF"/>
    <w:rsid w:val="00E71C9C"/>
    <w:rsid w:val="00E72EE8"/>
    <w:rsid w:val="00E7332B"/>
    <w:rsid w:val="00E734F8"/>
    <w:rsid w:val="00E736C8"/>
    <w:rsid w:val="00E737D5"/>
    <w:rsid w:val="00E73819"/>
    <w:rsid w:val="00E7489F"/>
    <w:rsid w:val="00E75168"/>
    <w:rsid w:val="00E76645"/>
    <w:rsid w:val="00E76B0A"/>
    <w:rsid w:val="00E76BBA"/>
    <w:rsid w:val="00E76DDC"/>
    <w:rsid w:val="00E7792C"/>
    <w:rsid w:val="00E77B23"/>
    <w:rsid w:val="00E77DC2"/>
    <w:rsid w:val="00E80DD6"/>
    <w:rsid w:val="00E82393"/>
    <w:rsid w:val="00E83199"/>
    <w:rsid w:val="00E8344F"/>
    <w:rsid w:val="00E839D3"/>
    <w:rsid w:val="00E83FA9"/>
    <w:rsid w:val="00E84290"/>
    <w:rsid w:val="00E8465F"/>
    <w:rsid w:val="00E84692"/>
    <w:rsid w:val="00E84D1E"/>
    <w:rsid w:val="00E84D7D"/>
    <w:rsid w:val="00E850FC"/>
    <w:rsid w:val="00E8541C"/>
    <w:rsid w:val="00E854E0"/>
    <w:rsid w:val="00E858C7"/>
    <w:rsid w:val="00E862B8"/>
    <w:rsid w:val="00E86457"/>
    <w:rsid w:val="00E86638"/>
    <w:rsid w:val="00E8676F"/>
    <w:rsid w:val="00E872D2"/>
    <w:rsid w:val="00E87A8C"/>
    <w:rsid w:val="00E9061E"/>
    <w:rsid w:val="00E90F04"/>
    <w:rsid w:val="00E91232"/>
    <w:rsid w:val="00E9130A"/>
    <w:rsid w:val="00E9157A"/>
    <w:rsid w:val="00E915CE"/>
    <w:rsid w:val="00E915F8"/>
    <w:rsid w:val="00E91CC1"/>
    <w:rsid w:val="00E92569"/>
    <w:rsid w:val="00E92642"/>
    <w:rsid w:val="00E92F54"/>
    <w:rsid w:val="00E93614"/>
    <w:rsid w:val="00E936F8"/>
    <w:rsid w:val="00E94808"/>
    <w:rsid w:val="00E95BFD"/>
    <w:rsid w:val="00E95D02"/>
    <w:rsid w:val="00E95D8F"/>
    <w:rsid w:val="00E96108"/>
    <w:rsid w:val="00E968AD"/>
    <w:rsid w:val="00E96D82"/>
    <w:rsid w:val="00E97290"/>
    <w:rsid w:val="00E972E5"/>
    <w:rsid w:val="00E97857"/>
    <w:rsid w:val="00EA0016"/>
    <w:rsid w:val="00EA03C5"/>
    <w:rsid w:val="00EA03DF"/>
    <w:rsid w:val="00EA04B8"/>
    <w:rsid w:val="00EA07FC"/>
    <w:rsid w:val="00EA10DC"/>
    <w:rsid w:val="00EA1603"/>
    <w:rsid w:val="00EA1AF1"/>
    <w:rsid w:val="00EA2163"/>
    <w:rsid w:val="00EA2A94"/>
    <w:rsid w:val="00EA3283"/>
    <w:rsid w:val="00EA3326"/>
    <w:rsid w:val="00EA348A"/>
    <w:rsid w:val="00EA3A25"/>
    <w:rsid w:val="00EA474A"/>
    <w:rsid w:val="00EA488F"/>
    <w:rsid w:val="00EA5157"/>
    <w:rsid w:val="00EA5317"/>
    <w:rsid w:val="00EA5702"/>
    <w:rsid w:val="00EA6A8C"/>
    <w:rsid w:val="00EA6ECB"/>
    <w:rsid w:val="00EA76A4"/>
    <w:rsid w:val="00EA7A46"/>
    <w:rsid w:val="00EB0211"/>
    <w:rsid w:val="00EB0213"/>
    <w:rsid w:val="00EB024B"/>
    <w:rsid w:val="00EB0928"/>
    <w:rsid w:val="00EB0A4E"/>
    <w:rsid w:val="00EB17F4"/>
    <w:rsid w:val="00EB1924"/>
    <w:rsid w:val="00EB1E50"/>
    <w:rsid w:val="00EB2E05"/>
    <w:rsid w:val="00EB328D"/>
    <w:rsid w:val="00EB33C6"/>
    <w:rsid w:val="00EB3B48"/>
    <w:rsid w:val="00EB3BD3"/>
    <w:rsid w:val="00EB4812"/>
    <w:rsid w:val="00EB6095"/>
    <w:rsid w:val="00EB661C"/>
    <w:rsid w:val="00EB73C1"/>
    <w:rsid w:val="00EB73F5"/>
    <w:rsid w:val="00EB753E"/>
    <w:rsid w:val="00EB7615"/>
    <w:rsid w:val="00EB766D"/>
    <w:rsid w:val="00EB7837"/>
    <w:rsid w:val="00EB7CFC"/>
    <w:rsid w:val="00EB7D1D"/>
    <w:rsid w:val="00EC0332"/>
    <w:rsid w:val="00EC0934"/>
    <w:rsid w:val="00EC0963"/>
    <w:rsid w:val="00EC0EA0"/>
    <w:rsid w:val="00EC1C6D"/>
    <w:rsid w:val="00EC1CA5"/>
    <w:rsid w:val="00EC21D5"/>
    <w:rsid w:val="00EC32A5"/>
    <w:rsid w:val="00EC3870"/>
    <w:rsid w:val="00EC3C27"/>
    <w:rsid w:val="00EC42CC"/>
    <w:rsid w:val="00EC4B56"/>
    <w:rsid w:val="00EC4C84"/>
    <w:rsid w:val="00EC52CC"/>
    <w:rsid w:val="00EC574E"/>
    <w:rsid w:val="00EC64E8"/>
    <w:rsid w:val="00EC6876"/>
    <w:rsid w:val="00EC69CB"/>
    <w:rsid w:val="00EC6E76"/>
    <w:rsid w:val="00EC6EDE"/>
    <w:rsid w:val="00EC70B4"/>
    <w:rsid w:val="00EC7AAA"/>
    <w:rsid w:val="00ED0279"/>
    <w:rsid w:val="00ED0F4A"/>
    <w:rsid w:val="00ED10A1"/>
    <w:rsid w:val="00ED141C"/>
    <w:rsid w:val="00ED1B1A"/>
    <w:rsid w:val="00ED2461"/>
    <w:rsid w:val="00ED28FE"/>
    <w:rsid w:val="00ED2CD0"/>
    <w:rsid w:val="00ED2FB9"/>
    <w:rsid w:val="00ED39B6"/>
    <w:rsid w:val="00ED443B"/>
    <w:rsid w:val="00ED44AE"/>
    <w:rsid w:val="00ED48A4"/>
    <w:rsid w:val="00ED4F56"/>
    <w:rsid w:val="00ED6687"/>
    <w:rsid w:val="00ED6C74"/>
    <w:rsid w:val="00ED6CDF"/>
    <w:rsid w:val="00ED72F3"/>
    <w:rsid w:val="00ED7330"/>
    <w:rsid w:val="00ED7620"/>
    <w:rsid w:val="00ED7B34"/>
    <w:rsid w:val="00EE00A4"/>
    <w:rsid w:val="00EE0190"/>
    <w:rsid w:val="00EE05A9"/>
    <w:rsid w:val="00EE07C3"/>
    <w:rsid w:val="00EE0912"/>
    <w:rsid w:val="00EE1EA0"/>
    <w:rsid w:val="00EE2F0D"/>
    <w:rsid w:val="00EE375C"/>
    <w:rsid w:val="00EE3A3B"/>
    <w:rsid w:val="00EE3FB8"/>
    <w:rsid w:val="00EE44B4"/>
    <w:rsid w:val="00EE47BA"/>
    <w:rsid w:val="00EE51F8"/>
    <w:rsid w:val="00EE6B63"/>
    <w:rsid w:val="00EE71DF"/>
    <w:rsid w:val="00EE76C4"/>
    <w:rsid w:val="00EE7B64"/>
    <w:rsid w:val="00EE7EFF"/>
    <w:rsid w:val="00EF03CA"/>
    <w:rsid w:val="00EF0585"/>
    <w:rsid w:val="00EF0E7B"/>
    <w:rsid w:val="00EF155F"/>
    <w:rsid w:val="00EF17FB"/>
    <w:rsid w:val="00EF22A8"/>
    <w:rsid w:val="00EF2B0D"/>
    <w:rsid w:val="00EF3155"/>
    <w:rsid w:val="00EF31C2"/>
    <w:rsid w:val="00EF33EB"/>
    <w:rsid w:val="00EF35AA"/>
    <w:rsid w:val="00EF389D"/>
    <w:rsid w:val="00EF485C"/>
    <w:rsid w:val="00EF5DEB"/>
    <w:rsid w:val="00EF626E"/>
    <w:rsid w:val="00EF74A1"/>
    <w:rsid w:val="00EF77B4"/>
    <w:rsid w:val="00F00815"/>
    <w:rsid w:val="00F00E93"/>
    <w:rsid w:val="00F00EB7"/>
    <w:rsid w:val="00F00EEE"/>
    <w:rsid w:val="00F0155F"/>
    <w:rsid w:val="00F0158E"/>
    <w:rsid w:val="00F0187E"/>
    <w:rsid w:val="00F01F42"/>
    <w:rsid w:val="00F01F92"/>
    <w:rsid w:val="00F0258E"/>
    <w:rsid w:val="00F037B0"/>
    <w:rsid w:val="00F04347"/>
    <w:rsid w:val="00F053D7"/>
    <w:rsid w:val="00F05FA0"/>
    <w:rsid w:val="00F0603E"/>
    <w:rsid w:val="00F0610F"/>
    <w:rsid w:val="00F062F5"/>
    <w:rsid w:val="00F06C10"/>
    <w:rsid w:val="00F073B3"/>
    <w:rsid w:val="00F07E98"/>
    <w:rsid w:val="00F1023A"/>
    <w:rsid w:val="00F10CE7"/>
    <w:rsid w:val="00F1114D"/>
    <w:rsid w:val="00F112B3"/>
    <w:rsid w:val="00F119BE"/>
    <w:rsid w:val="00F11A83"/>
    <w:rsid w:val="00F11F34"/>
    <w:rsid w:val="00F1208C"/>
    <w:rsid w:val="00F12C56"/>
    <w:rsid w:val="00F13410"/>
    <w:rsid w:val="00F14E99"/>
    <w:rsid w:val="00F15AA6"/>
    <w:rsid w:val="00F15C1C"/>
    <w:rsid w:val="00F1627F"/>
    <w:rsid w:val="00F16E2B"/>
    <w:rsid w:val="00F16EF9"/>
    <w:rsid w:val="00F16F06"/>
    <w:rsid w:val="00F17225"/>
    <w:rsid w:val="00F17DD9"/>
    <w:rsid w:val="00F17E8C"/>
    <w:rsid w:val="00F17FB0"/>
    <w:rsid w:val="00F208E8"/>
    <w:rsid w:val="00F21013"/>
    <w:rsid w:val="00F21107"/>
    <w:rsid w:val="00F2239B"/>
    <w:rsid w:val="00F22481"/>
    <w:rsid w:val="00F22819"/>
    <w:rsid w:val="00F23BFF"/>
    <w:rsid w:val="00F23C93"/>
    <w:rsid w:val="00F23D15"/>
    <w:rsid w:val="00F25377"/>
    <w:rsid w:val="00F253D2"/>
    <w:rsid w:val="00F256B2"/>
    <w:rsid w:val="00F25C36"/>
    <w:rsid w:val="00F263B4"/>
    <w:rsid w:val="00F27734"/>
    <w:rsid w:val="00F277FC"/>
    <w:rsid w:val="00F279A2"/>
    <w:rsid w:val="00F30892"/>
    <w:rsid w:val="00F30A56"/>
    <w:rsid w:val="00F30AF9"/>
    <w:rsid w:val="00F30C8C"/>
    <w:rsid w:val="00F30CED"/>
    <w:rsid w:val="00F311F8"/>
    <w:rsid w:val="00F31665"/>
    <w:rsid w:val="00F31BB6"/>
    <w:rsid w:val="00F32C57"/>
    <w:rsid w:val="00F32F13"/>
    <w:rsid w:val="00F33B07"/>
    <w:rsid w:val="00F3424C"/>
    <w:rsid w:val="00F34A74"/>
    <w:rsid w:val="00F354DE"/>
    <w:rsid w:val="00F3566C"/>
    <w:rsid w:val="00F369E1"/>
    <w:rsid w:val="00F36A85"/>
    <w:rsid w:val="00F374D8"/>
    <w:rsid w:val="00F37A9B"/>
    <w:rsid w:val="00F37C85"/>
    <w:rsid w:val="00F40289"/>
    <w:rsid w:val="00F405D7"/>
    <w:rsid w:val="00F40715"/>
    <w:rsid w:val="00F41643"/>
    <w:rsid w:val="00F41883"/>
    <w:rsid w:val="00F419B2"/>
    <w:rsid w:val="00F422C6"/>
    <w:rsid w:val="00F4235F"/>
    <w:rsid w:val="00F433A8"/>
    <w:rsid w:val="00F43481"/>
    <w:rsid w:val="00F448DD"/>
    <w:rsid w:val="00F44DB3"/>
    <w:rsid w:val="00F45AE0"/>
    <w:rsid w:val="00F46B7D"/>
    <w:rsid w:val="00F46D99"/>
    <w:rsid w:val="00F47C75"/>
    <w:rsid w:val="00F502C8"/>
    <w:rsid w:val="00F50A0A"/>
    <w:rsid w:val="00F513BF"/>
    <w:rsid w:val="00F51CAA"/>
    <w:rsid w:val="00F51D47"/>
    <w:rsid w:val="00F51F8E"/>
    <w:rsid w:val="00F5228C"/>
    <w:rsid w:val="00F5277A"/>
    <w:rsid w:val="00F52AB8"/>
    <w:rsid w:val="00F53078"/>
    <w:rsid w:val="00F5307D"/>
    <w:rsid w:val="00F5320F"/>
    <w:rsid w:val="00F535C9"/>
    <w:rsid w:val="00F5363F"/>
    <w:rsid w:val="00F5372F"/>
    <w:rsid w:val="00F53881"/>
    <w:rsid w:val="00F5388A"/>
    <w:rsid w:val="00F540CD"/>
    <w:rsid w:val="00F54792"/>
    <w:rsid w:val="00F54A0B"/>
    <w:rsid w:val="00F55183"/>
    <w:rsid w:val="00F555B6"/>
    <w:rsid w:val="00F55E11"/>
    <w:rsid w:val="00F57050"/>
    <w:rsid w:val="00F5749D"/>
    <w:rsid w:val="00F6051B"/>
    <w:rsid w:val="00F60AAC"/>
    <w:rsid w:val="00F60AD5"/>
    <w:rsid w:val="00F60B3E"/>
    <w:rsid w:val="00F60D0D"/>
    <w:rsid w:val="00F60D91"/>
    <w:rsid w:val="00F60E33"/>
    <w:rsid w:val="00F61AA1"/>
    <w:rsid w:val="00F61B63"/>
    <w:rsid w:val="00F61FA1"/>
    <w:rsid w:val="00F6281F"/>
    <w:rsid w:val="00F63149"/>
    <w:rsid w:val="00F6359E"/>
    <w:rsid w:val="00F63847"/>
    <w:rsid w:val="00F6401C"/>
    <w:rsid w:val="00F6434C"/>
    <w:rsid w:val="00F648CF"/>
    <w:rsid w:val="00F64B9C"/>
    <w:rsid w:val="00F6505C"/>
    <w:rsid w:val="00F6559A"/>
    <w:rsid w:val="00F65963"/>
    <w:rsid w:val="00F65BC3"/>
    <w:rsid w:val="00F6605E"/>
    <w:rsid w:val="00F6640E"/>
    <w:rsid w:val="00F66718"/>
    <w:rsid w:val="00F66758"/>
    <w:rsid w:val="00F66759"/>
    <w:rsid w:val="00F67129"/>
    <w:rsid w:val="00F6719E"/>
    <w:rsid w:val="00F705A8"/>
    <w:rsid w:val="00F708B5"/>
    <w:rsid w:val="00F70C2C"/>
    <w:rsid w:val="00F71BFD"/>
    <w:rsid w:val="00F7207A"/>
    <w:rsid w:val="00F720CA"/>
    <w:rsid w:val="00F72B28"/>
    <w:rsid w:val="00F72DBA"/>
    <w:rsid w:val="00F72E5B"/>
    <w:rsid w:val="00F72F6A"/>
    <w:rsid w:val="00F735FB"/>
    <w:rsid w:val="00F73D26"/>
    <w:rsid w:val="00F75179"/>
    <w:rsid w:val="00F753BF"/>
    <w:rsid w:val="00F75560"/>
    <w:rsid w:val="00F80F86"/>
    <w:rsid w:val="00F82068"/>
    <w:rsid w:val="00F82FE5"/>
    <w:rsid w:val="00F84164"/>
    <w:rsid w:val="00F8442A"/>
    <w:rsid w:val="00F84714"/>
    <w:rsid w:val="00F84779"/>
    <w:rsid w:val="00F8484E"/>
    <w:rsid w:val="00F85AE3"/>
    <w:rsid w:val="00F864C8"/>
    <w:rsid w:val="00F8689C"/>
    <w:rsid w:val="00F868CB"/>
    <w:rsid w:val="00F90FBB"/>
    <w:rsid w:val="00F918C0"/>
    <w:rsid w:val="00F928A0"/>
    <w:rsid w:val="00F93863"/>
    <w:rsid w:val="00F93A4B"/>
    <w:rsid w:val="00F93E9F"/>
    <w:rsid w:val="00F93EF7"/>
    <w:rsid w:val="00F93FBE"/>
    <w:rsid w:val="00F94A51"/>
    <w:rsid w:val="00F94C11"/>
    <w:rsid w:val="00F95930"/>
    <w:rsid w:val="00F96323"/>
    <w:rsid w:val="00F96931"/>
    <w:rsid w:val="00F970E5"/>
    <w:rsid w:val="00F9770F"/>
    <w:rsid w:val="00FA0542"/>
    <w:rsid w:val="00FA0757"/>
    <w:rsid w:val="00FA1048"/>
    <w:rsid w:val="00FA10C6"/>
    <w:rsid w:val="00FA1F99"/>
    <w:rsid w:val="00FA287B"/>
    <w:rsid w:val="00FA29CD"/>
    <w:rsid w:val="00FA3270"/>
    <w:rsid w:val="00FA3281"/>
    <w:rsid w:val="00FA3872"/>
    <w:rsid w:val="00FA3F3F"/>
    <w:rsid w:val="00FA403D"/>
    <w:rsid w:val="00FA42C6"/>
    <w:rsid w:val="00FA431B"/>
    <w:rsid w:val="00FA43A3"/>
    <w:rsid w:val="00FA4F47"/>
    <w:rsid w:val="00FA5A46"/>
    <w:rsid w:val="00FA5CCD"/>
    <w:rsid w:val="00FA6E5E"/>
    <w:rsid w:val="00FA720D"/>
    <w:rsid w:val="00FA79B7"/>
    <w:rsid w:val="00FB0D22"/>
    <w:rsid w:val="00FB1708"/>
    <w:rsid w:val="00FB1ED4"/>
    <w:rsid w:val="00FB2DCB"/>
    <w:rsid w:val="00FB3228"/>
    <w:rsid w:val="00FB3355"/>
    <w:rsid w:val="00FB3632"/>
    <w:rsid w:val="00FB40A5"/>
    <w:rsid w:val="00FB432F"/>
    <w:rsid w:val="00FB4D77"/>
    <w:rsid w:val="00FB5C6C"/>
    <w:rsid w:val="00FB5CE6"/>
    <w:rsid w:val="00FB5DE5"/>
    <w:rsid w:val="00FB60A5"/>
    <w:rsid w:val="00FB698F"/>
    <w:rsid w:val="00FB6F5B"/>
    <w:rsid w:val="00FB7099"/>
    <w:rsid w:val="00FB7644"/>
    <w:rsid w:val="00FB7E01"/>
    <w:rsid w:val="00FB7FAA"/>
    <w:rsid w:val="00FC006C"/>
    <w:rsid w:val="00FC0744"/>
    <w:rsid w:val="00FC09AA"/>
    <w:rsid w:val="00FC19A7"/>
    <w:rsid w:val="00FC1DB2"/>
    <w:rsid w:val="00FC1DBB"/>
    <w:rsid w:val="00FC223A"/>
    <w:rsid w:val="00FC2260"/>
    <w:rsid w:val="00FC23B0"/>
    <w:rsid w:val="00FC327B"/>
    <w:rsid w:val="00FC338F"/>
    <w:rsid w:val="00FC33E0"/>
    <w:rsid w:val="00FC412E"/>
    <w:rsid w:val="00FC43C2"/>
    <w:rsid w:val="00FC465B"/>
    <w:rsid w:val="00FC502E"/>
    <w:rsid w:val="00FC514D"/>
    <w:rsid w:val="00FC5D01"/>
    <w:rsid w:val="00FC6098"/>
    <w:rsid w:val="00FC6D89"/>
    <w:rsid w:val="00FC6E63"/>
    <w:rsid w:val="00FC6F5D"/>
    <w:rsid w:val="00FC7312"/>
    <w:rsid w:val="00FC7999"/>
    <w:rsid w:val="00FD0172"/>
    <w:rsid w:val="00FD0751"/>
    <w:rsid w:val="00FD138C"/>
    <w:rsid w:val="00FD1E8C"/>
    <w:rsid w:val="00FD1F14"/>
    <w:rsid w:val="00FD1F7D"/>
    <w:rsid w:val="00FD24CC"/>
    <w:rsid w:val="00FD24D6"/>
    <w:rsid w:val="00FD2566"/>
    <w:rsid w:val="00FD2DBE"/>
    <w:rsid w:val="00FD2FA7"/>
    <w:rsid w:val="00FD359E"/>
    <w:rsid w:val="00FD40A0"/>
    <w:rsid w:val="00FD6216"/>
    <w:rsid w:val="00FD674A"/>
    <w:rsid w:val="00FD7BB2"/>
    <w:rsid w:val="00FE0541"/>
    <w:rsid w:val="00FE055B"/>
    <w:rsid w:val="00FE12E6"/>
    <w:rsid w:val="00FE1359"/>
    <w:rsid w:val="00FE16D6"/>
    <w:rsid w:val="00FE192B"/>
    <w:rsid w:val="00FE1E70"/>
    <w:rsid w:val="00FE23E8"/>
    <w:rsid w:val="00FE2601"/>
    <w:rsid w:val="00FE3CCF"/>
    <w:rsid w:val="00FE45D7"/>
    <w:rsid w:val="00FE4713"/>
    <w:rsid w:val="00FE4834"/>
    <w:rsid w:val="00FE48B5"/>
    <w:rsid w:val="00FE4EA7"/>
    <w:rsid w:val="00FE5028"/>
    <w:rsid w:val="00FE538C"/>
    <w:rsid w:val="00FE5424"/>
    <w:rsid w:val="00FE5801"/>
    <w:rsid w:val="00FE5C2D"/>
    <w:rsid w:val="00FE64EB"/>
    <w:rsid w:val="00FE6511"/>
    <w:rsid w:val="00FE6C7B"/>
    <w:rsid w:val="00FE6EDF"/>
    <w:rsid w:val="00FE709B"/>
    <w:rsid w:val="00FE7405"/>
    <w:rsid w:val="00FF0786"/>
    <w:rsid w:val="00FF0878"/>
    <w:rsid w:val="00FF1BF0"/>
    <w:rsid w:val="00FF1D94"/>
    <w:rsid w:val="00FF1E65"/>
    <w:rsid w:val="00FF2ECC"/>
    <w:rsid w:val="00FF33A7"/>
    <w:rsid w:val="00FF35B0"/>
    <w:rsid w:val="00FF35F3"/>
    <w:rsid w:val="00FF45D4"/>
    <w:rsid w:val="00FF5735"/>
    <w:rsid w:val="00FF5B22"/>
    <w:rsid w:val="00FF5F17"/>
    <w:rsid w:val="00FF6417"/>
    <w:rsid w:val="00FF65AC"/>
    <w:rsid w:val="00FF6BDD"/>
    <w:rsid w:val="00FF6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4d523"/>
    </o:shapedefaults>
    <o:shapelayout v:ext="edit">
      <o:idmap v:ext="edit" data="2"/>
    </o:shapelayout>
  </w:shapeDefaults>
  <w:decimalSymbol w:val="."/>
  <w:listSeparator w:val=","/>
  <w14:docId w14:val="02F02421"/>
  <w15:docId w15:val="{BE444027-1DFC-49C7-A0A0-0B8179B7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locked="1"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iPriority="99"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uiPriority="21" w:qFormat="1"/>
    <w:lsdException w:name="Subtle Reference" w:uiPriority="31" w:qFormat="1"/>
    <w:lsdException w:name="Intense Reference"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7371"/>
    <w:pPr>
      <w:widowControl w:val="0"/>
      <w:autoSpaceDE w:val="0"/>
      <w:autoSpaceDN w:val="0"/>
      <w:adjustRightInd w:val="0"/>
      <w:jc w:val="both"/>
    </w:pPr>
    <w:rPr>
      <w:rFonts w:ascii="Arial" w:hAnsi="Arial" w:cs="Arial"/>
      <w:sz w:val="24"/>
      <w:szCs w:val="24"/>
    </w:rPr>
  </w:style>
  <w:style w:type="paragraph" w:styleId="Heading1">
    <w:name w:val="heading 1"/>
    <w:aliases w:val="Noblis Heading 1"/>
    <w:basedOn w:val="Normal"/>
    <w:next w:val="Normal"/>
    <w:link w:val="Heading1Char"/>
    <w:qFormat/>
    <w:locked/>
    <w:rsid w:val="009B2DFB"/>
    <w:pPr>
      <w:keepNext/>
      <w:widowControl/>
      <w:autoSpaceDE/>
      <w:autoSpaceDN/>
      <w:adjustRightInd/>
      <w:spacing w:before="240"/>
      <w:outlineLvl w:val="0"/>
    </w:pPr>
    <w:rPr>
      <w:rFonts w:eastAsiaTheme="majorEastAsia"/>
      <w:b/>
      <w:sz w:val="28"/>
      <w:szCs w:val="20"/>
    </w:rPr>
  </w:style>
  <w:style w:type="paragraph" w:styleId="Heading2">
    <w:name w:val="heading 2"/>
    <w:basedOn w:val="Normal"/>
    <w:next w:val="Normal"/>
    <w:link w:val="Heading2Char"/>
    <w:qFormat/>
    <w:locked/>
    <w:rsid w:val="009B2DFB"/>
    <w:pPr>
      <w:keepNext/>
      <w:spacing w:before="240" w:after="60"/>
      <w:outlineLvl w:val="1"/>
    </w:pPr>
    <w:rPr>
      <w:rFonts w:eastAsiaTheme="majorEastAsia"/>
      <w:b/>
      <w:bCs/>
      <w:i/>
      <w:iCs/>
      <w:sz w:val="28"/>
      <w:szCs w:val="28"/>
    </w:rPr>
  </w:style>
  <w:style w:type="paragraph" w:styleId="Heading3">
    <w:name w:val="heading 3"/>
    <w:basedOn w:val="Normal"/>
    <w:next w:val="Normal"/>
    <w:link w:val="Heading3Char"/>
    <w:unhideWhenUsed/>
    <w:qFormat/>
    <w:locked/>
    <w:rsid w:val="009B2DFB"/>
    <w:pPr>
      <w:keepNext/>
      <w:numPr>
        <w:ilvl w:val="2"/>
        <w:numId w:val="76"/>
      </w:numPr>
      <w:spacing w:before="240" w:after="60"/>
      <w:outlineLvl w:val="2"/>
    </w:pPr>
    <w:rPr>
      <w:rFonts w:eastAsiaTheme="majorEastAsia" w:cstheme="majorBidi"/>
      <w:b/>
      <w:bCs/>
      <w:szCs w:val="26"/>
    </w:rPr>
  </w:style>
  <w:style w:type="paragraph" w:styleId="Heading4">
    <w:name w:val="heading 4"/>
    <w:basedOn w:val="Normal"/>
    <w:next w:val="NormalIndent"/>
    <w:link w:val="Heading4Char"/>
    <w:qFormat/>
    <w:locked/>
    <w:rsid w:val="009B2DFB"/>
    <w:pPr>
      <w:keepNext/>
      <w:widowControl/>
      <w:numPr>
        <w:ilvl w:val="3"/>
        <w:numId w:val="76"/>
      </w:numPr>
      <w:autoSpaceDE/>
      <w:autoSpaceDN/>
      <w:adjustRightInd/>
      <w:spacing w:before="240" w:after="240" w:line="240" w:lineRule="exact"/>
      <w:outlineLvl w:val="3"/>
    </w:pPr>
    <w:rPr>
      <w:rFonts w:ascii="Arial Bold" w:eastAsiaTheme="majorEastAsia" w:hAnsi="Arial Bold" w:cstheme="majorBidi"/>
      <w:b/>
      <w:i/>
      <w:sz w:val="22"/>
    </w:rPr>
  </w:style>
  <w:style w:type="paragraph" w:styleId="Heading5">
    <w:name w:val="heading 5"/>
    <w:aliases w:val="Noblis Heading 5"/>
    <w:basedOn w:val="Normal"/>
    <w:next w:val="Normal"/>
    <w:link w:val="Heading5Char"/>
    <w:qFormat/>
    <w:locked/>
    <w:rsid w:val="009B2DFB"/>
    <w:pPr>
      <w:widowControl/>
      <w:numPr>
        <w:ilvl w:val="4"/>
        <w:numId w:val="76"/>
      </w:numPr>
      <w:autoSpaceDE/>
      <w:autoSpaceDN/>
      <w:adjustRightInd/>
      <w:spacing w:before="240" w:after="60"/>
      <w:outlineLvl w:val="4"/>
    </w:pPr>
    <w:rPr>
      <w:rFonts w:eastAsiaTheme="majorEastAsia" w:cstheme="majorBidi"/>
      <w:sz w:val="22"/>
    </w:rPr>
  </w:style>
  <w:style w:type="paragraph" w:styleId="Heading6">
    <w:name w:val="heading 6"/>
    <w:basedOn w:val="Normal"/>
    <w:next w:val="Normal"/>
    <w:link w:val="Heading6Char"/>
    <w:semiHidden/>
    <w:unhideWhenUsed/>
    <w:qFormat/>
    <w:rsid w:val="009B2DFB"/>
    <w:pPr>
      <w:keepNext/>
      <w:keepLines/>
      <w:numPr>
        <w:ilvl w:val="5"/>
        <w:numId w:val="7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9B2DFB"/>
    <w:pPr>
      <w:numPr>
        <w:ilvl w:val="6"/>
        <w:numId w:val="76"/>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qFormat/>
    <w:locked/>
    <w:rsid w:val="009B2DFB"/>
    <w:pPr>
      <w:numPr>
        <w:ilvl w:val="7"/>
        <w:numId w:val="76"/>
      </w:numPr>
      <w:spacing w:before="240" w:after="60"/>
      <w:outlineLvl w:val="7"/>
    </w:pPr>
    <w:rPr>
      <w:rFonts w:ascii="Times New Roman" w:eastAsiaTheme="majorEastAsia" w:hAnsi="Times New Roman"/>
      <w:i/>
      <w:iCs/>
    </w:rPr>
  </w:style>
  <w:style w:type="paragraph" w:styleId="Heading9">
    <w:name w:val="heading 9"/>
    <w:basedOn w:val="Normal"/>
    <w:next w:val="Normal"/>
    <w:link w:val="Heading9Char"/>
    <w:qFormat/>
    <w:locked/>
    <w:rsid w:val="009B2DFB"/>
    <w:pPr>
      <w:numPr>
        <w:ilvl w:val="8"/>
        <w:numId w:val="76"/>
      </w:numPr>
      <w:spacing w:before="240" w:after="60"/>
      <w:outlineLvl w:val="8"/>
    </w:pPr>
    <w:rPr>
      <w:rFonts w:eastAsiaTheme="maj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semiHidden/>
    <w:rsid w:val="00DC0D73"/>
    <w:pPr>
      <w:spacing w:before="115" w:line="260" w:lineRule="atLeast"/>
    </w:pPr>
    <w:rPr>
      <w:rFonts w:ascii="Helvetica" w:hAnsi="Helvetica"/>
      <w:b/>
      <w:sz w:val="20"/>
      <w:szCs w:val="20"/>
    </w:rPr>
  </w:style>
  <w:style w:type="paragraph" w:styleId="Header">
    <w:name w:val="header"/>
    <w:basedOn w:val="Normal"/>
    <w:link w:val="HeaderChar"/>
    <w:uiPriority w:val="99"/>
    <w:rsid w:val="00DC0D73"/>
    <w:pPr>
      <w:tabs>
        <w:tab w:val="center" w:pos="4320"/>
        <w:tab w:val="right" w:pos="8640"/>
      </w:tabs>
      <w:spacing w:line="260" w:lineRule="atLeast"/>
      <w:jc w:val="center"/>
    </w:pPr>
    <w:rPr>
      <w:b/>
      <w:caps/>
      <w:spacing w:val="40"/>
      <w:sz w:val="56"/>
      <w:szCs w:val="20"/>
    </w:rPr>
  </w:style>
  <w:style w:type="paragraph" w:styleId="Title">
    <w:name w:val="Title"/>
    <w:basedOn w:val="Normal"/>
    <w:link w:val="TitleChar"/>
    <w:qFormat/>
    <w:locked/>
    <w:rsid w:val="007C4363"/>
    <w:pPr>
      <w:widowControl/>
      <w:autoSpaceDE/>
      <w:autoSpaceDN/>
      <w:adjustRightInd/>
      <w:spacing w:before="240" w:after="60"/>
      <w:jc w:val="center"/>
      <w:outlineLvl w:val="0"/>
    </w:pPr>
    <w:rPr>
      <w:rFonts w:eastAsiaTheme="majorEastAsia"/>
      <w:b/>
      <w:kern w:val="28"/>
      <w:sz w:val="32"/>
      <w:szCs w:val="20"/>
    </w:rPr>
  </w:style>
  <w:style w:type="paragraph" w:customStyle="1" w:styleId="Noblisbullet1">
    <w:name w:val="Noblis bullet 1"/>
    <w:basedOn w:val="Normal"/>
    <w:rsid w:val="00B50970"/>
    <w:pPr>
      <w:numPr>
        <w:numId w:val="15"/>
      </w:numPr>
      <w:spacing w:after="60"/>
    </w:pPr>
  </w:style>
  <w:style w:type="paragraph" w:customStyle="1" w:styleId="Noblisbullet2">
    <w:name w:val="Noblis bullet 2"/>
    <w:basedOn w:val="Normal"/>
    <w:rsid w:val="002F1F0E"/>
    <w:pPr>
      <w:numPr>
        <w:ilvl w:val="1"/>
        <w:numId w:val="15"/>
      </w:numPr>
      <w:tabs>
        <w:tab w:val="left" w:pos="720"/>
      </w:tabs>
      <w:spacing w:after="40"/>
    </w:pPr>
  </w:style>
  <w:style w:type="paragraph" w:customStyle="1" w:styleId="text">
    <w:name w:val="text"/>
    <w:basedOn w:val="Normal"/>
    <w:semiHidden/>
    <w:rsid w:val="00DC0D73"/>
    <w:pPr>
      <w:spacing w:after="140"/>
      <w:ind w:firstLine="360"/>
    </w:pPr>
  </w:style>
  <w:style w:type="paragraph" w:customStyle="1" w:styleId="AbstractHere">
    <w:name w:val="AbstractHere"/>
    <w:basedOn w:val="Normal"/>
    <w:next w:val="Normal"/>
    <w:semiHidden/>
    <w:rsid w:val="00DC0D73"/>
    <w:pPr>
      <w:spacing w:before="144" w:line="259" w:lineRule="exact"/>
      <w:ind w:firstLine="259"/>
    </w:pPr>
    <w:rPr>
      <w:szCs w:val="20"/>
    </w:rPr>
  </w:style>
  <w:style w:type="paragraph" w:customStyle="1" w:styleId="AbstractHereSucceed">
    <w:name w:val="AbstractHere Succeed"/>
    <w:basedOn w:val="AbstractHere"/>
    <w:semiHidden/>
    <w:rsid w:val="00DC0D73"/>
    <w:pPr>
      <w:spacing w:before="0"/>
    </w:pPr>
  </w:style>
  <w:style w:type="paragraph" w:customStyle="1" w:styleId="NoblisTableSubheading">
    <w:name w:val="Noblis Table Subheading"/>
    <w:basedOn w:val="NoblisTableText"/>
    <w:rsid w:val="005F14EA"/>
    <w:pPr>
      <w:shd w:val="clear" w:color="auto" w:fill="DADC82"/>
      <w:spacing w:before="0" w:after="0"/>
      <w:ind w:left="-86" w:right="-86" w:firstLine="72"/>
    </w:pPr>
    <w:rPr>
      <w:b/>
      <w:color w:val="334D5F"/>
    </w:rPr>
  </w:style>
  <w:style w:type="paragraph" w:customStyle="1" w:styleId="AppendixHeader">
    <w:name w:val="Appendix Header"/>
    <w:basedOn w:val="Heading1"/>
    <w:semiHidden/>
    <w:rsid w:val="009B2DFB"/>
    <w:pPr>
      <w:outlineLvl w:val="9"/>
    </w:pPr>
  </w:style>
  <w:style w:type="paragraph" w:customStyle="1" w:styleId="AppendixLevel1">
    <w:name w:val="Appendix Level 1"/>
    <w:basedOn w:val="Normal"/>
    <w:next w:val="Normal"/>
    <w:rsid w:val="00DC0D73"/>
    <w:pPr>
      <w:keepNext/>
      <w:tabs>
        <w:tab w:val="left" w:pos="360"/>
      </w:tabs>
      <w:spacing w:after="240" w:line="260" w:lineRule="atLeast"/>
    </w:pPr>
    <w:rPr>
      <w:b/>
      <w:szCs w:val="20"/>
    </w:rPr>
  </w:style>
  <w:style w:type="paragraph" w:customStyle="1" w:styleId="AppendixLevel2">
    <w:name w:val="Appendix Level 2"/>
    <w:basedOn w:val="Normal"/>
    <w:next w:val="Normal"/>
    <w:rsid w:val="00DC0D73"/>
    <w:pPr>
      <w:keepNext/>
      <w:tabs>
        <w:tab w:val="left" w:pos="360"/>
      </w:tabs>
      <w:spacing w:after="240" w:line="260" w:lineRule="atLeast"/>
    </w:pPr>
    <w:rPr>
      <w:b/>
      <w:szCs w:val="20"/>
    </w:rPr>
  </w:style>
  <w:style w:type="paragraph" w:customStyle="1" w:styleId="AppendixLevel3">
    <w:name w:val="Appendix Level 3"/>
    <w:basedOn w:val="Normal"/>
    <w:next w:val="Normal"/>
    <w:semiHidden/>
    <w:rsid w:val="00DC0D73"/>
    <w:pPr>
      <w:keepNext/>
      <w:tabs>
        <w:tab w:val="left" w:pos="360"/>
      </w:tabs>
      <w:spacing w:after="240" w:line="260" w:lineRule="atLeast"/>
      <w:ind w:left="360"/>
    </w:pPr>
    <w:rPr>
      <w:b/>
      <w:szCs w:val="20"/>
    </w:rPr>
  </w:style>
  <w:style w:type="paragraph" w:customStyle="1" w:styleId="Approvedfor">
    <w:name w:val="Approved for"/>
    <w:basedOn w:val="Normal"/>
    <w:semiHidden/>
    <w:rsid w:val="00DC0D73"/>
    <w:pPr>
      <w:spacing w:before="432" w:line="260" w:lineRule="atLeast"/>
      <w:ind w:right="14"/>
    </w:pPr>
    <w:rPr>
      <w:rFonts w:ascii="Helvetica" w:hAnsi="Helvetica"/>
      <w:b/>
      <w:sz w:val="20"/>
      <w:szCs w:val="20"/>
    </w:rPr>
  </w:style>
  <w:style w:type="paragraph" w:customStyle="1" w:styleId="ApprovedByHere">
    <w:name w:val="ApprovedByHere"/>
    <w:basedOn w:val="Normal"/>
    <w:semiHidden/>
    <w:rsid w:val="00DC0D73"/>
    <w:pPr>
      <w:spacing w:line="260" w:lineRule="atLeast"/>
      <w:ind w:right="274" w:firstLine="259"/>
    </w:pPr>
    <w:rPr>
      <w:szCs w:val="20"/>
    </w:rPr>
  </w:style>
  <w:style w:type="paragraph" w:customStyle="1" w:styleId="ArmyStatement">
    <w:name w:val="Army Statement"/>
    <w:basedOn w:val="Normal"/>
    <w:semiHidden/>
    <w:rsid w:val="00DC0D73"/>
    <w:pPr>
      <w:spacing w:before="300" w:line="260" w:lineRule="atLeast"/>
    </w:pPr>
    <w:rPr>
      <w:rFonts w:ascii="Helvetica" w:hAnsi="Helvetica"/>
      <w:sz w:val="18"/>
      <w:szCs w:val="20"/>
    </w:rPr>
  </w:style>
  <w:style w:type="paragraph" w:customStyle="1" w:styleId="Pre-PrintedText">
    <w:name w:val="Pre-Printed Text"/>
    <w:basedOn w:val="Normal"/>
    <w:semiHidden/>
    <w:rsid w:val="00DC0D73"/>
    <w:pPr>
      <w:spacing w:line="260" w:lineRule="atLeast"/>
    </w:pPr>
    <w:rPr>
      <w:sz w:val="16"/>
      <w:szCs w:val="20"/>
    </w:rPr>
  </w:style>
  <w:style w:type="paragraph" w:customStyle="1" w:styleId="PubDate">
    <w:name w:val="PubDate"/>
    <w:basedOn w:val="Pre-PrintedText"/>
    <w:semiHidden/>
    <w:rsid w:val="00DC0D73"/>
    <w:pPr>
      <w:spacing w:before="200"/>
    </w:pPr>
    <w:rPr>
      <w:b/>
      <w:sz w:val="28"/>
    </w:rPr>
  </w:style>
  <w:style w:type="paragraph" w:customStyle="1" w:styleId="Author">
    <w:name w:val="Author"/>
    <w:basedOn w:val="PubDate"/>
    <w:semiHidden/>
    <w:rsid w:val="00DC0D73"/>
    <w:pPr>
      <w:spacing w:before="60"/>
    </w:pPr>
    <w:rPr>
      <w:b w:val="0"/>
      <w:sz w:val="24"/>
    </w:rPr>
  </w:style>
  <w:style w:type="paragraph" w:customStyle="1" w:styleId="AuthorEmpNo">
    <w:name w:val="Author/Emp. No"/>
    <w:basedOn w:val="Normal"/>
    <w:semiHidden/>
    <w:rsid w:val="00DC0D73"/>
    <w:pPr>
      <w:spacing w:line="260" w:lineRule="atLeast"/>
    </w:pPr>
    <w:rPr>
      <w:vanish/>
      <w:szCs w:val="20"/>
    </w:rPr>
  </w:style>
  <w:style w:type="paragraph" w:customStyle="1" w:styleId="Author0">
    <w:name w:val="Author:"/>
    <w:basedOn w:val="Normal"/>
    <w:semiHidden/>
    <w:rsid w:val="00DC0D73"/>
    <w:pPr>
      <w:spacing w:before="43" w:after="274" w:line="260" w:lineRule="atLeast"/>
    </w:pPr>
    <w:rPr>
      <w:rFonts w:ascii="Helvetica" w:hAnsi="Helvetica"/>
      <w:b/>
      <w:sz w:val="20"/>
      <w:szCs w:val="20"/>
    </w:rPr>
  </w:style>
  <w:style w:type="paragraph" w:customStyle="1" w:styleId="AuthorNameHere">
    <w:name w:val="AuthorNameHere"/>
    <w:basedOn w:val="Normal"/>
    <w:next w:val="Normal"/>
    <w:semiHidden/>
    <w:rsid w:val="00DC0D73"/>
    <w:pPr>
      <w:spacing w:before="14" w:line="260" w:lineRule="atLeast"/>
    </w:pPr>
    <w:rPr>
      <w:szCs w:val="20"/>
    </w:rPr>
  </w:style>
  <w:style w:type="paragraph" w:customStyle="1" w:styleId="AuthorNameHereSucce">
    <w:name w:val="AuthorNameHere Succe"/>
    <w:basedOn w:val="AuthorNameHere"/>
    <w:semiHidden/>
    <w:rsid w:val="00DC0D73"/>
    <w:pPr>
      <w:spacing w:before="0"/>
    </w:pPr>
  </w:style>
  <w:style w:type="paragraph" w:customStyle="1" w:styleId="NoblisBackMatterHeader">
    <w:name w:val="Noblis Back Matter Header"/>
    <w:basedOn w:val="NoblisFrontMatterHeader"/>
    <w:next w:val="Noblisbodytext"/>
    <w:link w:val="NoblisBackMatterHeaderChar"/>
    <w:rsid w:val="009B2DFB"/>
  </w:style>
  <w:style w:type="paragraph" w:customStyle="1" w:styleId="Bibliog">
    <w:name w:val="Bibliog"/>
    <w:basedOn w:val="Normal"/>
    <w:semiHidden/>
    <w:rsid w:val="00C26AEE"/>
    <w:pPr>
      <w:tabs>
        <w:tab w:val="left" w:pos="540"/>
      </w:tabs>
      <w:spacing w:after="140" w:line="280" w:lineRule="atLeast"/>
      <w:ind w:left="547" w:hanging="547"/>
    </w:pPr>
    <w:rPr>
      <w:szCs w:val="20"/>
    </w:rPr>
  </w:style>
  <w:style w:type="paragraph" w:customStyle="1" w:styleId="CenterName">
    <w:name w:val="CenterName"/>
    <w:basedOn w:val="Pre-PrintedText"/>
    <w:semiHidden/>
    <w:rsid w:val="00DC0D73"/>
    <w:pPr>
      <w:spacing w:line="240" w:lineRule="exact"/>
    </w:pPr>
    <w:rPr>
      <w:b/>
    </w:rPr>
  </w:style>
  <w:style w:type="paragraph" w:customStyle="1" w:styleId="CenterNameSucceedin">
    <w:name w:val="CenterName Succeedin"/>
    <w:basedOn w:val="CenterName"/>
    <w:semiHidden/>
    <w:rsid w:val="00DC0D73"/>
    <w:pPr>
      <w:spacing w:line="240" w:lineRule="auto"/>
    </w:pPr>
    <w:rPr>
      <w:b w:val="0"/>
      <w:sz w:val="18"/>
    </w:rPr>
  </w:style>
  <w:style w:type="paragraph" w:customStyle="1" w:styleId="ClassifiedBy">
    <w:name w:val="Classified By"/>
    <w:basedOn w:val="Pre-PrintedText"/>
    <w:semiHidden/>
    <w:rsid w:val="00DC0D73"/>
    <w:pPr>
      <w:spacing w:line="180" w:lineRule="exact"/>
      <w:ind w:right="-108"/>
    </w:pPr>
    <w:rPr>
      <w:b/>
    </w:rPr>
  </w:style>
  <w:style w:type="paragraph" w:styleId="Footer">
    <w:name w:val="footer"/>
    <w:basedOn w:val="Normal"/>
    <w:next w:val="Normal"/>
    <w:link w:val="FooterChar"/>
    <w:uiPriority w:val="99"/>
    <w:rsid w:val="00DC0D73"/>
    <w:pPr>
      <w:spacing w:line="260" w:lineRule="atLeast"/>
      <w:jc w:val="center"/>
    </w:pPr>
    <w:rPr>
      <w:rFonts w:ascii="Times" w:hAnsi="Times"/>
      <w:szCs w:val="20"/>
    </w:rPr>
  </w:style>
  <w:style w:type="paragraph" w:customStyle="1" w:styleId="MCF">
    <w:name w:val="MCF"/>
    <w:basedOn w:val="Footer"/>
    <w:semiHidden/>
    <w:rsid w:val="00DC0D73"/>
    <w:pPr>
      <w:tabs>
        <w:tab w:val="center" w:pos="4320"/>
        <w:tab w:val="right" w:pos="8640"/>
      </w:tabs>
      <w:spacing w:before="240"/>
      <w:jc w:val="left"/>
    </w:pPr>
    <w:rPr>
      <w:rFonts w:ascii="Helvetica" w:hAnsi="Helvetica"/>
      <w:sz w:val="18"/>
    </w:rPr>
  </w:style>
  <w:style w:type="paragraph" w:customStyle="1" w:styleId="ClassifiedFooter">
    <w:name w:val="Classified Footer"/>
    <w:basedOn w:val="MCF"/>
    <w:semiHidden/>
    <w:rsid w:val="00DC0D73"/>
    <w:pPr>
      <w:tabs>
        <w:tab w:val="clear" w:pos="4320"/>
      </w:tabs>
      <w:spacing w:before="120"/>
      <w:jc w:val="right"/>
    </w:pPr>
    <w:rPr>
      <w:b/>
      <w:caps/>
      <w:sz w:val="36"/>
    </w:rPr>
  </w:style>
  <w:style w:type="paragraph" w:customStyle="1" w:styleId="ClassifiedHeader">
    <w:name w:val="Classified Header"/>
    <w:basedOn w:val="Header"/>
    <w:semiHidden/>
    <w:rsid w:val="00DC0D73"/>
    <w:pPr>
      <w:tabs>
        <w:tab w:val="clear" w:pos="4320"/>
        <w:tab w:val="clear" w:pos="8640"/>
      </w:tabs>
      <w:jc w:val="right"/>
    </w:pPr>
    <w:rPr>
      <w:rFonts w:ascii="Helvetica" w:hAnsi="Helvetica"/>
      <w:spacing w:val="0"/>
      <w:sz w:val="36"/>
    </w:rPr>
  </w:style>
  <w:style w:type="paragraph" w:customStyle="1" w:styleId="ClassifiedByHere">
    <w:name w:val="ClassifiedByHere"/>
    <w:basedOn w:val="Normal"/>
    <w:next w:val="Normal"/>
    <w:semiHidden/>
    <w:rsid w:val="00DC0D73"/>
    <w:pPr>
      <w:spacing w:before="14" w:line="260" w:lineRule="atLeast"/>
    </w:pPr>
    <w:rPr>
      <w:szCs w:val="20"/>
    </w:rPr>
  </w:style>
  <w:style w:type="paragraph" w:customStyle="1" w:styleId="Configuration">
    <w:name w:val="Configuration"/>
    <w:basedOn w:val="Normal"/>
    <w:semiHidden/>
    <w:rsid w:val="00DC0D73"/>
    <w:pPr>
      <w:spacing w:line="260" w:lineRule="atLeast"/>
    </w:pPr>
    <w:rPr>
      <w:sz w:val="8"/>
      <w:szCs w:val="20"/>
    </w:rPr>
  </w:style>
  <w:style w:type="paragraph" w:customStyle="1" w:styleId="ProjectNo">
    <w:name w:val="ProjectNo."/>
    <w:basedOn w:val="Normal"/>
    <w:semiHidden/>
    <w:rsid w:val="00DC0D73"/>
    <w:pPr>
      <w:spacing w:before="14" w:line="260" w:lineRule="atLeast"/>
    </w:pPr>
    <w:rPr>
      <w:rFonts w:ascii="Helvetica" w:hAnsi="Helvetica"/>
      <w:b/>
      <w:sz w:val="20"/>
      <w:szCs w:val="20"/>
    </w:rPr>
  </w:style>
  <w:style w:type="paragraph" w:customStyle="1" w:styleId="ContractNo">
    <w:name w:val="Contract No."/>
    <w:basedOn w:val="ProjectNo"/>
    <w:semiHidden/>
    <w:rsid w:val="00DC0D73"/>
    <w:pPr>
      <w:spacing w:before="216"/>
    </w:pPr>
  </w:style>
  <w:style w:type="paragraph" w:customStyle="1" w:styleId="LabelSponsor">
    <w:name w:val="Label Sponsor"/>
    <w:basedOn w:val="Pre-PrintedText"/>
    <w:semiHidden/>
    <w:rsid w:val="00DC0D73"/>
    <w:pPr>
      <w:spacing w:line="180" w:lineRule="exact"/>
      <w:ind w:left="-14" w:right="-115"/>
    </w:pPr>
    <w:rPr>
      <w:b/>
    </w:rPr>
  </w:style>
  <w:style w:type="paragraph" w:customStyle="1" w:styleId="Sponsor">
    <w:name w:val="Sponsor"/>
    <w:basedOn w:val="LabelSponsor"/>
    <w:semiHidden/>
    <w:rsid w:val="00DC0D73"/>
    <w:rPr>
      <w:b w:val="0"/>
    </w:rPr>
  </w:style>
  <w:style w:type="paragraph" w:customStyle="1" w:styleId="ContractNumber">
    <w:name w:val="Contract Number"/>
    <w:basedOn w:val="Sponsor"/>
    <w:semiHidden/>
    <w:rsid w:val="00DC0D73"/>
  </w:style>
  <w:style w:type="paragraph" w:customStyle="1" w:styleId="ProjectNoHere">
    <w:name w:val="ProjectNoHere"/>
    <w:basedOn w:val="Normal"/>
    <w:semiHidden/>
    <w:rsid w:val="00DC0D73"/>
    <w:pPr>
      <w:spacing w:before="14" w:line="260" w:lineRule="atLeast"/>
    </w:pPr>
    <w:rPr>
      <w:szCs w:val="20"/>
    </w:rPr>
  </w:style>
  <w:style w:type="paragraph" w:customStyle="1" w:styleId="ContractNoHere">
    <w:name w:val="ContractNoHere"/>
    <w:basedOn w:val="ProjectNoHere"/>
    <w:semiHidden/>
    <w:rsid w:val="00DC0D73"/>
    <w:pPr>
      <w:spacing w:before="216"/>
    </w:pPr>
  </w:style>
  <w:style w:type="paragraph" w:customStyle="1" w:styleId="ControlledDistribution">
    <w:name w:val="Controlled Distribution"/>
    <w:basedOn w:val="Pre-PrintedText"/>
    <w:semiHidden/>
    <w:rsid w:val="00DC0D73"/>
    <w:pPr>
      <w:spacing w:before="60" w:after="60" w:line="280" w:lineRule="atLeast"/>
    </w:pPr>
    <w:rPr>
      <w:b/>
      <w:sz w:val="24"/>
    </w:rPr>
  </w:style>
  <w:style w:type="paragraph" w:customStyle="1" w:styleId="ControlledDistributi">
    <w:name w:val="ControlledDistributi"/>
    <w:basedOn w:val="Normal"/>
    <w:semiHidden/>
    <w:rsid w:val="00DC0D73"/>
    <w:pPr>
      <w:spacing w:before="300" w:after="800" w:line="260" w:lineRule="atLeast"/>
      <w:jc w:val="right"/>
    </w:pPr>
    <w:rPr>
      <w:rFonts w:ascii="Helvetica" w:hAnsi="Helvetica"/>
      <w:b/>
      <w:caps/>
      <w:sz w:val="20"/>
      <w:szCs w:val="20"/>
    </w:rPr>
  </w:style>
  <w:style w:type="paragraph" w:customStyle="1" w:styleId="CopyNo">
    <w:name w:val="Copy No."/>
    <w:basedOn w:val="Normal"/>
    <w:semiHidden/>
    <w:rsid w:val="00DC0D73"/>
    <w:pPr>
      <w:spacing w:before="80" w:line="260" w:lineRule="atLeast"/>
    </w:pPr>
    <w:rPr>
      <w:rFonts w:ascii="Helvetica" w:hAnsi="Helvetica"/>
      <w:b/>
      <w:sz w:val="20"/>
      <w:szCs w:val="20"/>
    </w:rPr>
  </w:style>
  <w:style w:type="paragraph" w:customStyle="1" w:styleId="Disclaimer">
    <w:name w:val="Disclaimer"/>
    <w:basedOn w:val="Pre-PrintedText"/>
    <w:semiHidden/>
    <w:rsid w:val="00DC0D73"/>
    <w:pPr>
      <w:spacing w:line="180" w:lineRule="exact"/>
    </w:pPr>
  </w:style>
  <w:style w:type="paragraph" w:customStyle="1" w:styleId="Copyright">
    <w:name w:val="Copyright"/>
    <w:basedOn w:val="Disclaimer"/>
    <w:semiHidden/>
    <w:rsid w:val="00DC0D73"/>
  </w:style>
  <w:style w:type="paragraph" w:customStyle="1" w:styleId="Date">
    <w:name w:val="Date:"/>
    <w:basedOn w:val="Normal"/>
    <w:semiHidden/>
    <w:rsid w:val="00DC0D73"/>
    <w:pPr>
      <w:spacing w:before="216" w:line="260" w:lineRule="atLeast"/>
    </w:pPr>
    <w:rPr>
      <w:rFonts w:ascii="Helvetica" w:hAnsi="Helvetica"/>
      <w:b/>
      <w:sz w:val="20"/>
      <w:szCs w:val="20"/>
    </w:rPr>
  </w:style>
  <w:style w:type="paragraph" w:customStyle="1" w:styleId="DateHere">
    <w:name w:val="DateHere"/>
    <w:basedOn w:val="Normal"/>
    <w:semiHidden/>
    <w:rsid w:val="00DC0D73"/>
    <w:pPr>
      <w:spacing w:before="216" w:line="260" w:lineRule="atLeast"/>
    </w:pPr>
    <w:rPr>
      <w:szCs w:val="20"/>
    </w:rPr>
  </w:style>
  <w:style w:type="paragraph" w:customStyle="1" w:styleId="DeclassifiedOn">
    <w:name w:val="Declassified On"/>
    <w:basedOn w:val="Pre-PrintedText"/>
    <w:semiHidden/>
    <w:rsid w:val="00DC0D73"/>
    <w:pPr>
      <w:spacing w:line="180" w:lineRule="exact"/>
      <w:ind w:right="72"/>
    </w:pPr>
  </w:style>
  <w:style w:type="paragraph" w:customStyle="1" w:styleId="Declassifyon">
    <w:name w:val="Declassify on"/>
    <w:basedOn w:val="Normal"/>
    <w:semiHidden/>
    <w:rsid w:val="00DC0D73"/>
    <w:pPr>
      <w:spacing w:before="14" w:line="260" w:lineRule="atLeast"/>
    </w:pPr>
    <w:rPr>
      <w:rFonts w:ascii="Helvetica" w:hAnsi="Helvetica"/>
      <w:b/>
      <w:sz w:val="20"/>
      <w:szCs w:val="20"/>
    </w:rPr>
  </w:style>
  <w:style w:type="paragraph" w:customStyle="1" w:styleId="DeclassifyHere">
    <w:name w:val="DeclassifyHere"/>
    <w:basedOn w:val="Normal"/>
    <w:semiHidden/>
    <w:rsid w:val="00DC0D73"/>
    <w:pPr>
      <w:spacing w:before="14" w:line="260" w:lineRule="atLeast"/>
    </w:pPr>
    <w:rPr>
      <w:szCs w:val="20"/>
    </w:rPr>
  </w:style>
  <w:style w:type="paragraph" w:customStyle="1" w:styleId="LabelDeptNo">
    <w:name w:val="Label Dept No."/>
    <w:basedOn w:val="Pre-PrintedText"/>
    <w:semiHidden/>
    <w:rsid w:val="00DC0D73"/>
    <w:pPr>
      <w:spacing w:line="180" w:lineRule="exact"/>
      <w:ind w:left="-18" w:right="-108"/>
    </w:pPr>
    <w:rPr>
      <w:b/>
    </w:rPr>
  </w:style>
  <w:style w:type="paragraph" w:customStyle="1" w:styleId="DepartmentNumber">
    <w:name w:val="Department Number"/>
    <w:basedOn w:val="LabelDeptNo"/>
    <w:semiHidden/>
    <w:rsid w:val="00DC0D73"/>
    <w:rPr>
      <w:b w:val="0"/>
    </w:rPr>
  </w:style>
  <w:style w:type="paragraph" w:customStyle="1" w:styleId="Dept">
    <w:name w:val="Dept."/>
    <w:basedOn w:val="Normal"/>
    <w:semiHidden/>
    <w:rsid w:val="00DC0D73"/>
    <w:pPr>
      <w:spacing w:before="14" w:line="260" w:lineRule="atLeast"/>
    </w:pPr>
    <w:rPr>
      <w:rFonts w:ascii="Helvetica" w:hAnsi="Helvetica"/>
      <w:b/>
      <w:sz w:val="20"/>
      <w:szCs w:val="20"/>
    </w:rPr>
  </w:style>
  <w:style w:type="paragraph" w:customStyle="1" w:styleId="DeptHere">
    <w:name w:val="DeptHere"/>
    <w:basedOn w:val="Normal"/>
    <w:semiHidden/>
    <w:rsid w:val="00DC0D73"/>
    <w:pPr>
      <w:spacing w:before="14" w:line="260" w:lineRule="atLeast"/>
    </w:pPr>
    <w:rPr>
      <w:szCs w:val="20"/>
    </w:rPr>
  </w:style>
  <w:style w:type="paragraph" w:customStyle="1" w:styleId="DisributionList">
    <w:name w:val="Disribution List"/>
    <w:basedOn w:val="Normal"/>
    <w:semiHidden/>
    <w:rsid w:val="00DC0D73"/>
    <w:pPr>
      <w:tabs>
        <w:tab w:val="left" w:pos="360"/>
      </w:tabs>
      <w:spacing w:line="260" w:lineRule="atLeast"/>
    </w:pPr>
    <w:rPr>
      <w:szCs w:val="20"/>
    </w:rPr>
  </w:style>
  <w:style w:type="paragraph" w:customStyle="1" w:styleId="DistributionHeader">
    <w:name w:val="Distribution Header"/>
    <w:basedOn w:val="Normal"/>
    <w:next w:val="Normal"/>
    <w:semiHidden/>
    <w:rsid w:val="00DC0D73"/>
    <w:pPr>
      <w:keepNext/>
      <w:tabs>
        <w:tab w:val="left" w:pos="360"/>
      </w:tabs>
      <w:spacing w:after="240" w:line="260" w:lineRule="atLeast"/>
    </w:pPr>
    <w:rPr>
      <w:b/>
      <w:caps/>
      <w:szCs w:val="20"/>
    </w:rPr>
  </w:style>
  <w:style w:type="paragraph" w:customStyle="1" w:styleId="DistributionList">
    <w:name w:val="Distribution List"/>
    <w:basedOn w:val="Normal"/>
    <w:semiHidden/>
    <w:rsid w:val="00DC0D73"/>
    <w:pPr>
      <w:spacing w:line="260" w:lineRule="atLeast"/>
    </w:pPr>
    <w:rPr>
      <w:szCs w:val="20"/>
    </w:rPr>
  </w:style>
  <w:style w:type="paragraph" w:customStyle="1" w:styleId="DistributionList2">
    <w:name w:val="Distribution List2"/>
    <w:basedOn w:val="Normal"/>
    <w:rsid w:val="00DC0D73"/>
    <w:pPr>
      <w:tabs>
        <w:tab w:val="left" w:pos="360"/>
      </w:tabs>
      <w:spacing w:line="260" w:lineRule="atLeast"/>
    </w:pPr>
    <w:rPr>
      <w:szCs w:val="20"/>
    </w:rPr>
  </w:style>
  <w:style w:type="paragraph" w:customStyle="1" w:styleId="DistributionList1">
    <w:name w:val="Distribution List1"/>
    <w:basedOn w:val="Normal"/>
    <w:semiHidden/>
    <w:rsid w:val="00DC0D73"/>
    <w:pPr>
      <w:spacing w:line="260" w:lineRule="atLeast"/>
    </w:pPr>
    <w:rPr>
      <w:szCs w:val="20"/>
    </w:rPr>
  </w:style>
  <w:style w:type="paragraph" w:customStyle="1" w:styleId="DistributionStateme">
    <w:name w:val="Distribution Stateme"/>
    <w:basedOn w:val="Normal"/>
    <w:semiHidden/>
    <w:rsid w:val="00DC0D73"/>
    <w:pPr>
      <w:spacing w:before="130" w:after="101" w:line="260" w:lineRule="atLeast"/>
      <w:ind w:left="187" w:right="202"/>
      <w:jc w:val="center"/>
    </w:pPr>
    <w:rPr>
      <w:rFonts w:ascii="Helvetica" w:hAnsi="Helvetica"/>
      <w:sz w:val="16"/>
      <w:szCs w:val="20"/>
    </w:rPr>
  </w:style>
  <w:style w:type="paragraph" w:customStyle="1" w:styleId="DistributionHeader0">
    <w:name w:val="DistributionHeader"/>
    <w:basedOn w:val="Normal"/>
    <w:next w:val="Normal"/>
    <w:semiHidden/>
    <w:rsid w:val="00DC0D73"/>
    <w:pPr>
      <w:keepNext/>
      <w:tabs>
        <w:tab w:val="left" w:pos="360"/>
      </w:tabs>
      <w:spacing w:after="240" w:line="260" w:lineRule="atLeast"/>
    </w:pPr>
    <w:rPr>
      <w:b/>
      <w:caps/>
      <w:szCs w:val="20"/>
    </w:rPr>
  </w:style>
  <w:style w:type="paragraph" w:customStyle="1" w:styleId="DistrubtionHeader">
    <w:name w:val="Distrubtion Header"/>
    <w:basedOn w:val="Normal"/>
    <w:next w:val="Normal"/>
    <w:semiHidden/>
    <w:rsid w:val="00DC0D73"/>
    <w:pPr>
      <w:keepNext/>
      <w:tabs>
        <w:tab w:val="left" w:pos="360"/>
      </w:tabs>
      <w:spacing w:after="240" w:line="260" w:lineRule="atLeast"/>
    </w:pPr>
    <w:rPr>
      <w:b/>
      <w:szCs w:val="20"/>
    </w:rPr>
  </w:style>
  <w:style w:type="paragraph" w:customStyle="1" w:styleId="DocTitle">
    <w:name w:val="Doc Title"/>
    <w:basedOn w:val="Pre-PrintedText"/>
    <w:semiHidden/>
    <w:rsid w:val="00DC0D73"/>
    <w:rPr>
      <w:b/>
      <w:sz w:val="40"/>
    </w:rPr>
  </w:style>
  <w:style w:type="paragraph" w:styleId="DocumentMap">
    <w:name w:val="Document Map"/>
    <w:basedOn w:val="Normal"/>
    <w:semiHidden/>
    <w:rsid w:val="00DC0D73"/>
    <w:pPr>
      <w:shd w:val="clear" w:color="auto" w:fill="000080"/>
      <w:spacing w:line="260" w:lineRule="atLeast"/>
    </w:pPr>
    <w:rPr>
      <w:rFonts w:ascii="Tahoma" w:hAnsi="Tahoma"/>
      <w:szCs w:val="20"/>
    </w:rPr>
  </w:style>
  <w:style w:type="paragraph" w:customStyle="1" w:styleId="DocumentType">
    <w:name w:val="Document Type"/>
    <w:basedOn w:val="Pre-PrintedText"/>
    <w:semiHidden/>
    <w:rsid w:val="00DC0D73"/>
    <w:pPr>
      <w:spacing w:before="60" w:after="60" w:line="280" w:lineRule="exact"/>
    </w:pPr>
    <w:rPr>
      <w:caps/>
      <w:spacing w:val="20"/>
      <w:sz w:val="20"/>
    </w:rPr>
  </w:style>
  <w:style w:type="paragraph" w:customStyle="1" w:styleId="LabelClassifiedBy">
    <w:name w:val="Label Classified By"/>
    <w:basedOn w:val="Pre-PrintedText"/>
    <w:semiHidden/>
    <w:rsid w:val="00DC0D73"/>
    <w:pPr>
      <w:spacing w:line="180" w:lineRule="exact"/>
      <w:ind w:left="-14"/>
    </w:pPr>
    <w:rPr>
      <w:b/>
    </w:rPr>
  </w:style>
  <w:style w:type="paragraph" w:customStyle="1" w:styleId="DowngradeDate">
    <w:name w:val="Downgrade Date"/>
    <w:basedOn w:val="LabelClassifiedBy"/>
    <w:semiHidden/>
    <w:rsid w:val="00DC0D73"/>
    <w:rPr>
      <w:b w:val="0"/>
    </w:rPr>
  </w:style>
  <w:style w:type="paragraph" w:customStyle="1" w:styleId="DowngradeTo">
    <w:name w:val="Downgrade To"/>
    <w:basedOn w:val="Pre-PrintedText"/>
    <w:semiHidden/>
    <w:rsid w:val="00DC0D73"/>
    <w:pPr>
      <w:spacing w:line="180" w:lineRule="exact"/>
      <w:ind w:right="-108"/>
    </w:pPr>
    <w:rPr>
      <w:b/>
    </w:rPr>
  </w:style>
  <w:style w:type="character" w:styleId="EndnoteReference">
    <w:name w:val="endnote reference"/>
    <w:basedOn w:val="DefaultParagraphFont"/>
    <w:uiPriority w:val="99"/>
    <w:semiHidden/>
    <w:rsid w:val="00DC0D73"/>
    <w:rPr>
      <w:vertAlign w:val="superscript"/>
    </w:rPr>
  </w:style>
  <w:style w:type="paragraph" w:customStyle="1" w:styleId="Equation">
    <w:name w:val="Equation"/>
    <w:basedOn w:val="Normal"/>
    <w:semiHidden/>
    <w:rsid w:val="00C26AEE"/>
    <w:pPr>
      <w:tabs>
        <w:tab w:val="center" w:pos="4320"/>
      </w:tabs>
      <w:spacing w:before="120" w:after="180" w:line="280" w:lineRule="atLeast"/>
    </w:pPr>
    <w:rPr>
      <w:position w:val="-8"/>
      <w:szCs w:val="20"/>
    </w:rPr>
  </w:style>
  <w:style w:type="paragraph" w:customStyle="1" w:styleId="ExecSumLevel1">
    <w:name w:val="ExecSum Level 1"/>
    <w:basedOn w:val="Normal"/>
    <w:next w:val="Normal"/>
    <w:semiHidden/>
    <w:rsid w:val="00DC0D73"/>
    <w:pPr>
      <w:keepNext/>
      <w:tabs>
        <w:tab w:val="left" w:pos="360"/>
      </w:tabs>
      <w:spacing w:after="240" w:line="260" w:lineRule="atLeast"/>
    </w:pPr>
    <w:rPr>
      <w:b/>
      <w:szCs w:val="20"/>
    </w:rPr>
  </w:style>
  <w:style w:type="paragraph" w:customStyle="1" w:styleId="ExecSumLevel2">
    <w:name w:val="ExecSum Level 2"/>
    <w:basedOn w:val="Normal"/>
    <w:next w:val="Normal"/>
    <w:semiHidden/>
    <w:rsid w:val="00DC0D73"/>
    <w:pPr>
      <w:keepNext/>
      <w:tabs>
        <w:tab w:val="left" w:pos="360"/>
      </w:tabs>
      <w:spacing w:after="240" w:line="260" w:lineRule="atLeast"/>
    </w:pPr>
    <w:rPr>
      <w:b/>
      <w:szCs w:val="20"/>
    </w:rPr>
  </w:style>
  <w:style w:type="paragraph" w:customStyle="1" w:styleId="ExecSumLevel3">
    <w:name w:val="ExecSum Level 3"/>
    <w:basedOn w:val="Normal"/>
    <w:next w:val="Normal"/>
    <w:semiHidden/>
    <w:rsid w:val="00DC0D73"/>
    <w:pPr>
      <w:keepNext/>
      <w:tabs>
        <w:tab w:val="left" w:pos="360"/>
      </w:tabs>
      <w:spacing w:after="240" w:line="260" w:lineRule="atLeast"/>
      <w:ind w:left="360"/>
    </w:pPr>
    <w:rPr>
      <w:b/>
      <w:szCs w:val="20"/>
    </w:rPr>
  </w:style>
  <w:style w:type="paragraph" w:customStyle="1" w:styleId="FigureTableTOC">
    <w:name w:val="Figure/Table/TOC"/>
    <w:basedOn w:val="Normal"/>
    <w:semiHidden/>
    <w:rsid w:val="00C26AEE"/>
    <w:pPr>
      <w:tabs>
        <w:tab w:val="right" w:pos="8910"/>
      </w:tabs>
      <w:spacing w:after="120" w:line="280" w:lineRule="atLeast"/>
      <w:ind w:left="360"/>
    </w:pPr>
    <w:rPr>
      <w:szCs w:val="20"/>
    </w:rPr>
  </w:style>
  <w:style w:type="paragraph" w:customStyle="1" w:styleId="FooterClass">
    <w:name w:val="Footer Class"/>
    <w:basedOn w:val="Normal"/>
    <w:semiHidden/>
    <w:rsid w:val="00DC0D73"/>
    <w:pPr>
      <w:spacing w:line="260" w:lineRule="atLeast"/>
      <w:ind w:right="360"/>
      <w:jc w:val="center"/>
    </w:pPr>
    <w:rPr>
      <w:b/>
      <w:caps/>
      <w:spacing w:val="40"/>
      <w:sz w:val="56"/>
      <w:szCs w:val="20"/>
    </w:rPr>
  </w:style>
  <w:style w:type="character" w:styleId="FootnoteReference">
    <w:name w:val="footnote reference"/>
    <w:basedOn w:val="DefaultParagraphFont"/>
    <w:semiHidden/>
    <w:rsid w:val="00DC0D73"/>
    <w:rPr>
      <w:position w:val="6"/>
      <w:sz w:val="18"/>
    </w:rPr>
  </w:style>
  <w:style w:type="paragraph" w:styleId="FootnoteText">
    <w:name w:val="footnote text"/>
    <w:basedOn w:val="Normal"/>
    <w:link w:val="FootnoteTextChar"/>
    <w:semiHidden/>
    <w:rsid w:val="00DC0D73"/>
    <w:pPr>
      <w:spacing w:after="240" w:line="260" w:lineRule="atLeast"/>
      <w:ind w:left="360" w:hanging="360"/>
    </w:pPr>
    <w:rPr>
      <w:rFonts w:ascii="Times" w:hAnsi="Times"/>
      <w:szCs w:val="20"/>
    </w:rPr>
  </w:style>
  <w:style w:type="paragraph" w:customStyle="1" w:styleId="FrntMatterHeadings">
    <w:name w:val="Frnt Matter Headings"/>
    <w:basedOn w:val="Normal"/>
    <w:next w:val="Normal"/>
    <w:semiHidden/>
    <w:rsid w:val="00DC0D73"/>
    <w:pPr>
      <w:tabs>
        <w:tab w:val="left" w:pos="360"/>
      </w:tabs>
      <w:spacing w:after="480" w:line="260" w:lineRule="auto"/>
      <w:ind w:right="29"/>
      <w:jc w:val="center"/>
    </w:pPr>
    <w:rPr>
      <w:b/>
      <w:szCs w:val="20"/>
    </w:rPr>
  </w:style>
  <w:style w:type="paragraph" w:customStyle="1" w:styleId="NoblisFrontMatterHeader">
    <w:name w:val="Noblis Front Matter Header"/>
    <w:basedOn w:val="Heading1"/>
    <w:next w:val="Noblisbodytext"/>
    <w:link w:val="NoblisFrontMatterHeaderChar"/>
    <w:rsid w:val="009B2DFB"/>
    <w:pPr>
      <w:spacing w:after="120"/>
      <w:outlineLvl w:val="9"/>
    </w:pPr>
    <w:rPr>
      <w:szCs w:val="32"/>
    </w:rPr>
  </w:style>
  <w:style w:type="paragraph" w:customStyle="1" w:styleId="FrontMatterHeading">
    <w:name w:val="Front Matter Heading"/>
    <w:basedOn w:val="Normal"/>
    <w:next w:val="Normal"/>
    <w:semiHidden/>
    <w:rsid w:val="00DC0D73"/>
    <w:pPr>
      <w:tabs>
        <w:tab w:val="left" w:pos="360"/>
      </w:tabs>
      <w:spacing w:after="480" w:line="260" w:lineRule="atLeast"/>
      <w:ind w:right="29"/>
      <w:jc w:val="center"/>
    </w:pPr>
    <w:rPr>
      <w:b/>
      <w:szCs w:val="20"/>
    </w:rPr>
  </w:style>
  <w:style w:type="paragraph" w:customStyle="1" w:styleId="FrontMatterHeading0">
    <w:name w:val="FrontMatterHeading"/>
    <w:basedOn w:val="Heading1"/>
    <w:semiHidden/>
    <w:rsid w:val="009B2DFB"/>
    <w:pPr>
      <w:tabs>
        <w:tab w:val="left" w:pos="360"/>
      </w:tabs>
      <w:spacing w:after="480" w:line="260" w:lineRule="auto"/>
      <w:jc w:val="center"/>
      <w:outlineLvl w:val="9"/>
    </w:pPr>
    <w:rPr>
      <w:sz w:val="24"/>
    </w:rPr>
  </w:style>
  <w:style w:type="paragraph" w:customStyle="1" w:styleId="Glossary">
    <w:name w:val="Glossary"/>
    <w:basedOn w:val="Normal"/>
    <w:semiHidden/>
    <w:rsid w:val="00C26AEE"/>
    <w:pPr>
      <w:spacing w:after="140" w:line="280" w:lineRule="atLeast"/>
      <w:ind w:left="360" w:hanging="360"/>
    </w:pPr>
    <w:rPr>
      <w:szCs w:val="20"/>
    </w:rPr>
  </w:style>
  <w:style w:type="paragraph" w:customStyle="1" w:styleId="Glossary1">
    <w:name w:val="Glossary1"/>
    <w:basedOn w:val="Normal"/>
    <w:semiHidden/>
    <w:rsid w:val="00DC0D73"/>
    <w:pPr>
      <w:tabs>
        <w:tab w:val="left" w:pos="360"/>
      </w:tabs>
      <w:spacing w:line="260" w:lineRule="atLeast"/>
      <w:ind w:left="1080" w:hanging="1080"/>
    </w:pPr>
    <w:rPr>
      <w:szCs w:val="20"/>
    </w:rPr>
  </w:style>
  <w:style w:type="paragraph" w:customStyle="1" w:styleId="GlossaryLT">
    <w:name w:val="Glossary (L T)"/>
    <w:basedOn w:val="Normal"/>
    <w:semiHidden/>
    <w:rsid w:val="00C26AEE"/>
    <w:pPr>
      <w:spacing w:after="140" w:line="280" w:lineRule="atLeast"/>
      <w:ind w:left="360" w:hanging="360"/>
    </w:pPr>
    <w:rPr>
      <w:szCs w:val="20"/>
    </w:rPr>
  </w:style>
  <w:style w:type="paragraph" w:customStyle="1" w:styleId="Graphic">
    <w:name w:val="Graphic"/>
    <w:semiHidden/>
    <w:rsid w:val="00DC0D73"/>
    <w:pPr>
      <w:keepNext/>
      <w:spacing w:before="240" w:after="240"/>
      <w:jc w:val="center"/>
    </w:pPr>
    <w:rPr>
      <w:rFonts w:ascii="Times" w:hAnsi="Times"/>
      <w:sz w:val="24"/>
    </w:rPr>
  </w:style>
  <w:style w:type="paragraph" w:customStyle="1" w:styleId="HeaderClass">
    <w:name w:val="Header Class"/>
    <w:basedOn w:val="Header"/>
    <w:semiHidden/>
    <w:rsid w:val="00DC0D73"/>
  </w:style>
  <w:style w:type="paragraph" w:styleId="Index1">
    <w:name w:val="index 1"/>
    <w:basedOn w:val="Normal"/>
    <w:next w:val="Normal"/>
    <w:semiHidden/>
    <w:rsid w:val="00DC0D73"/>
    <w:pPr>
      <w:spacing w:line="260" w:lineRule="atLeast"/>
    </w:pPr>
    <w:rPr>
      <w:szCs w:val="20"/>
    </w:rPr>
  </w:style>
  <w:style w:type="paragraph" w:styleId="Index2">
    <w:name w:val="index 2"/>
    <w:basedOn w:val="Normal"/>
    <w:next w:val="Normal"/>
    <w:semiHidden/>
    <w:rsid w:val="00DC0D73"/>
    <w:pPr>
      <w:spacing w:line="260" w:lineRule="atLeast"/>
      <w:ind w:left="360"/>
    </w:pPr>
    <w:rPr>
      <w:szCs w:val="20"/>
    </w:rPr>
  </w:style>
  <w:style w:type="paragraph" w:styleId="Index3">
    <w:name w:val="index 3"/>
    <w:basedOn w:val="Normal"/>
    <w:next w:val="Normal"/>
    <w:semiHidden/>
    <w:rsid w:val="00DC0D73"/>
    <w:pPr>
      <w:spacing w:line="260" w:lineRule="atLeast"/>
      <w:ind w:left="720"/>
    </w:pPr>
    <w:rPr>
      <w:szCs w:val="20"/>
    </w:rPr>
  </w:style>
  <w:style w:type="paragraph" w:styleId="Index4">
    <w:name w:val="index 4"/>
    <w:basedOn w:val="Normal"/>
    <w:next w:val="Normal"/>
    <w:semiHidden/>
    <w:rsid w:val="00DC0D73"/>
    <w:pPr>
      <w:spacing w:line="260" w:lineRule="atLeast"/>
      <w:ind w:left="1080"/>
    </w:pPr>
    <w:rPr>
      <w:szCs w:val="20"/>
    </w:rPr>
  </w:style>
  <w:style w:type="paragraph" w:styleId="Index5">
    <w:name w:val="index 5"/>
    <w:basedOn w:val="Normal"/>
    <w:next w:val="Normal"/>
    <w:semiHidden/>
    <w:rsid w:val="00DC0D73"/>
    <w:pPr>
      <w:spacing w:line="260" w:lineRule="atLeast"/>
      <w:ind w:left="1440"/>
    </w:pPr>
    <w:rPr>
      <w:szCs w:val="20"/>
    </w:rPr>
  </w:style>
  <w:style w:type="paragraph" w:styleId="Index6">
    <w:name w:val="index 6"/>
    <w:basedOn w:val="Normal"/>
    <w:next w:val="Normal"/>
    <w:semiHidden/>
    <w:rsid w:val="00DC0D73"/>
    <w:pPr>
      <w:spacing w:line="260" w:lineRule="atLeast"/>
      <w:ind w:left="1800"/>
    </w:pPr>
    <w:rPr>
      <w:szCs w:val="20"/>
    </w:rPr>
  </w:style>
  <w:style w:type="paragraph" w:styleId="Index7">
    <w:name w:val="index 7"/>
    <w:basedOn w:val="Normal"/>
    <w:next w:val="Normal"/>
    <w:semiHidden/>
    <w:rsid w:val="00DC0D73"/>
    <w:pPr>
      <w:spacing w:line="260" w:lineRule="atLeast"/>
      <w:ind w:left="2160"/>
    </w:pPr>
    <w:rPr>
      <w:szCs w:val="20"/>
    </w:rPr>
  </w:style>
  <w:style w:type="paragraph" w:styleId="IndexHeading">
    <w:name w:val="index heading"/>
    <w:basedOn w:val="Normal"/>
    <w:next w:val="Index1"/>
    <w:semiHidden/>
    <w:rsid w:val="00DC0D73"/>
    <w:pPr>
      <w:spacing w:line="260" w:lineRule="atLeast"/>
    </w:pPr>
    <w:rPr>
      <w:szCs w:val="20"/>
    </w:rPr>
  </w:style>
  <w:style w:type="paragraph" w:customStyle="1" w:styleId="Issuedat">
    <w:name w:val="Issued at"/>
    <w:basedOn w:val="Normal"/>
    <w:semiHidden/>
    <w:rsid w:val="00DC0D73"/>
    <w:pPr>
      <w:spacing w:before="192" w:after="274" w:line="260" w:lineRule="atLeast"/>
    </w:pPr>
    <w:rPr>
      <w:rFonts w:ascii="Helvetica" w:hAnsi="Helvetica"/>
      <w:b/>
      <w:sz w:val="20"/>
      <w:szCs w:val="20"/>
    </w:rPr>
  </w:style>
  <w:style w:type="paragraph" w:customStyle="1" w:styleId="IssuedatHere">
    <w:name w:val="IssuedatHere"/>
    <w:basedOn w:val="Normal"/>
    <w:semiHidden/>
    <w:rsid w:val="00DC0D73"/>
    <w:pPr>
      <w:spacing w:before="158" w:after="2940" w:line="260" w:lineRule="atLeast"/>
    </w:pPr>
    <w:rPr>
      <w:szCs w:val="20"/>
    </w:rPr>
  </w:style>
  <w:style w:type="paragraph" w:customStyle="1" w:styleId="Keyword">
    <w:name w:val="Keyword"/>
    <w:basedOn w:val="Normal"/>
    <w:semiHidden/>
    <w:rsid w:val="00DC0D73"/>
    <w:pPr>
      <w:spacing w:before="72" w:line="260" w:lineRule="atLeast"/>
    </w:pPr>
    <w:rPr>
      <w:i/>
      <w:vanish/>
      <w:szCs w:val="20"/>
    </w:rPr>
  </w:style>
  <w:style w:type="paragraph" w:customStyle="1" w:styleId="LabelContractNo">
    <w:name w:val="Label Contract No."/>
    <w:basedOn w:val="Pre-PrintedText"/>
    <w:semiHidden/>
    <w:rsid w:val="00DC0D73"/>
    <w:pPr>
      <w:spacing w:line="180" w:lineRule="exact"/>
    </w:pPr>
    <w:rPr>
      <w:b/>
    </w:rPr>
  </w:style>
  <w:style w:type="paragraph" w:customStyle="1" w:styleId="LabelDeclassifyOn">
    <w:name w:val="Label Declassify On"/>
    <w:basedOn w:val="Pre-PrintedText"/>
    <w:semiHidden/>
    <w:rsid w:val="00DC0D73"/>
    <w:pPr>
      <w:spacing w:line="180" w:lineRule="exact"/>
    </w:pPr>
    <w:rPr>
      <w:b/>
    </w:rPr>
  </w:style>
  <w:style w:type="paragraph" w:customStyle="1" w:styleId="LabelDowngradeTo">
    <w:name w:val="Label Downgrade To"/>
    <w:basedOn w:val="Pre-PrintedText"/>
    <w:semiHidden/>
    <w:rsid w:val="00DC0D73"/>
    <w:pPr>
      <w:spacing w:line="180" w:lineRule="exact"/>
      <w:ind w:left="-14"/>
    </w:pPr>
  </w:style>
  <w:style w:type="paragraph" w:customStyle="1" w:styleId="LabelProjectNo">
    <w:name w:val="Label Project No."/>
    <w:basedOn w:val="Pre-PrintedText"/>
    <w:semiHidden/>
    <w:rsid w:val="00DC0D73"/>
    <w:pPr>
      <w:spacing w:line="180" w:lineRule="exact"/>
      <w:ind w:left="-14" w:right="-115"/>
    </w:pPr>
    <w:rPr>
      <w:b/>
    </w:rPr>
  </w:style>
  <w:style w:type="paragraph" w:customStyle="1" w:styleId="LargeSpace">
    <w:name w:val="Large Space"/>
    <w:next w:val="Normal"/>
    <w:semiHidden/>
    <w:rsid w:val="00DC0D73"/>
    <w:pPr>
      <w:spacing w:before="240" w:after="240"/>
    </w:pPr>
    <w:rPr>
      <w:rFonts w:ascii="Times" w:hAnsi="Times"/>
      <w:b/>
      <w:sz w:val="24"/>
    </w:rPr>
  </w:style>
  <w:style w:type="paragraph" w:customStyle="1" w:styleId="Limiter">
    <w:name w:val="Limiter"/>
    <w:basedOn w:val="Pre-PrintedText"/>
    <w:semiHidden/>
    <w:rsid w:val="00DC0D73"/>
    <w:pPr>
      <w:spacing w:line="180" w:lineRule="exact"/>
    </w:pPr>
  </w:style>
  <w:style w:type="paragraph" w:customStyle="1" w:styleId="SiteName">
    <w:name w:val="SiteName"/>
    <w:basedOn w:val="CenterName"/>
    <w:semiHidden/>
    <w:rsid w:val="00DC0D73"/>
  </w:style>
  <w:style w:type="paragraph" w:customStyle="1" w:styleId="LimiterE">
    <w:name w:val="Limiter E"/>
    <w:basedOn w:val="SiteName"/>
    <w:semiHidden/>
    <w:rsid w:val="00DC0D73"/>
    <w:pPr>
      <w:spacing w:before="320"/>
      <w:jc w:val="center"/>
    </w:pPr>
  </w:style>
  <w:style w:type="paragraph" w:customStyle="1" w:styleId="LimterE">
    <w:name w:val="Limter E"/>
    <w:basedOn w:val="SiteName"/>
    <w:semiHidden/>
    <w:rsid w:val="00DC0D73"/>
    <w:pPr>
      <w:spacing w:before="320"/>
      <w:jc w:val="center"/>
    </w:pPr>
    <w:rPr>
      <w:sz w:val="24"/>
    </w:rPr>
  </w:style>
  <w:style w:type="character" w:styleId="LineNumber">
    <w:name w:val="line number"/>
    <w:basedOn w:val="DefaultParagraphFont"/>
    <w:semiHidden/>
    <w:rsid w:val="00DC0D73"/>
  </w:style>
  <w:style w:type="paragraph" w:customStyle="1" w:styleId="List-1stLevel">
    <w:name w:val="List - 1st Level"/>
    <w:aliases w:val="l1"/>
    <w:basedOn w:val="Normal"/>
    <w:rsid w:val="00C26AEE"/>
    <w:pPr>
      <w:tabs>
        <w:tab w:val="left" w:pos="720"/>
      </w:tabs>
      <w:spacing w:after="60" w:line="280" w:lineRule="atLeast"/>
      <w:ind w:left="720" w:hanging="360"/>
    </w:pPr>
    <w:rPr>
      <w:szCs w:val="20"/>
    </w:rPr>
  </w:style>
  <w:style w:type="paragraph" w:customStyle="1" w:styleId="List-2ndLevel">
    <w:name w:val="List - 2nd Level"/>
    <w:basedOn w:val="List-1stLevel"/>
    <w:rsid w:val="00DC0D73"/>
    <w:pPr>
      <w:tabs>
        <w:tab w:val="clear" w:pos="720"/>
        <w:tab w:val="left" w:pos="1080"/>
      </w:tabs>
      <w:ind w:left="1080"/>
    </w:pPr>
  </w:style>
  <w:style w:type="paragraph" w:customStyle="1" w:styleId="logo">
    <w:name w:val="logo"/>
    <w:basedOn w:val="Normal"/>
    <w:semiHidden/>
    <w:rsid w:val="00DC0D73"/>
    <w:pPr>
      <w:spacing w:line="260" w:lineRule="atLeast"/>
      <w:jc w:val="center"/>
    </w:pPr>
    <w:rPr>
      <w:sz w:val="48"/>
      <w:szCs w:val="20"/>
    </w:rPr>
  </w:style>
  <w:style w:type="paragraph" w:customStyle="1" w:styleId="MITRELogo">
    <w:name w:val="MITRELogo"/>
    <w:basedOn w:val="Limiter"/>
    <w:semiHidden/>
    <w:rsid w:val="00DC0D73"/>
    <w:pPr>
      <w:spacing w:line="240" w:lineRule="auto"/>
    </w:pPr>
    <w:rPr>
      <w:rFonts w:ascii="MITRE" w:hAnsi="MITRE"/>
      <w:sz w:val="40"/>
    </w:rPr>
  </w:style>
  <w:style w:type="paragraph" w:customStyle="1" w:styleId="MTRNumber">
    <w:name w:val="MTR Number"/>
    <w:basedOn w:val="Pre-PrintedText"/>
    <w:semiHidden/>
    <w:rsid w:val="00DC0D73"/>
    <w:pPr>
      <w:spacing w:before="40" w:after="40" w:line="240" w:lineRule="exact"/>
      <w:ind w:right="-115"/>
    </w:pPr>
    <w:rPr>
      <w:caps/>
      <w:spacing w:val="20"/>
      <w:sz w:val="20"/>
    </w:rPr>
  </w:style>
  <w:style w:type="paragraph" w:customStyle="1" w:styleId="NameDateRef">
    <w:name w:val="Name/Date Ref"/>
    <w:basedOn w:val="Normal"/>
    <w:semiHidden/>
    <w:rsid w:val="00C26AEE"/>
    <w:pPr>
      <w:spacing w:after="140" w:line="280" w:lineRule="atLeast"/>
    </w:pPr>
    <w:rPr>
      <w:szCs w:val="20"/>
    </w:rPr>
  </w:style>
  <w:style w:type="paragraph" w:customStyle="1" w:styleId="No">
    <w:name w:val="No."/>
    <w:basedOn w:val="Normal"/>
    <w:semiHidden/>
    <w:rsid w:val="00DC0D73"/>
    <w:pPr>
      <w:spacing w:before="100" w:line="260" w:lineRule="atLeast"/>
      <w:jc w:val="center"/>
    </w:pPr>
    <w:rPr>
      <w:rFonts w:ascii="Helvetica" w:hAnsi="Helvetica"/>
      <w:sz w:val="18"/>
      <w:szCs w:val="20"/>
    </w:rPr>
  </w:style>
  <w:style w:type="paragraph" w:customStyle="1" w:styleId="NoHere">
    <w:name w:val="NoHere"/>
    <w:basedOn w:val="Normal"/>
    <w:semiHidden/>
    <w:rsid w:val="00DC0D73"/>
    <w:pPr>
      <w:spacing w:before="400" w:line="260" w:lineRule="atLeast"/>
      <w:jc w:val="center"/>
    </w:pPr>
    <w:rPr>
      <w:b/>
      <w:sz w:val="20"/>
      <w:szCs w:val="20"/>
    </w:rPr>
  </w:style>
  <w:style w:type="paragraph" w:styleId="NormalIndent">
    <w:name w:val="Normal Indent"/>
    <w:basedOn w:val="Normal"/>
    <w:semiHidden/>
    <w:rsid w:val="00DC0D73"/>
    <w:pPr>
      <w:spacing w:line="260" w:lineRule="atLeast"/>
      <w:ind w:left="720"/>
    </w:pPr>
    <w:rPr>
      <w:szCs w:val="20"/>
    </w:rPr>
  </w:style>
  <w:style w:type="paragraph" w:customStyle="1" w:styleId="NumberedReference">
    <w:name w:val="Numbered Reference"/>
    <w:basedOn w:val="Normal"/>
    <w:semiHidden/>
    <w:rsid w:val="00C26AEE"/>
    <w:pPr>
      <w:spacing w:after="140" w:line="280" w:lineRule="atLeast"/>
      <w:ind w:left="360" w:hanging="360"/>
    </w:pPr>
    <w:rPr>
      <w:szCs w:val="20"/>
    </w:rPr>
  </w:style>
  <w:style w:type="paragraph" w:customStyle="1" w:styleId="NumberedReference1">
    <w:name w:val="Numbered Reference1"/>
    <w:basedOn w:val="Normal"/>
    <w:semiHidden/>
    <w:rsid w:val="00DC0D73"/>
    <w:pPr>
      <w:tabs>
        <w:tab w:val="left" w:pos="360"/>
      </w:tabs>
      <w:spacing w:line="260" w:lineRule="atLeast"/>
      <w:ind w:left="360" w:hanging="360"/>
    </w:pPr>
    <w:rPr>
      <w:szCs w:val="20"/>
    </w:rPr>
  </w:style>
  <w:style w:type="paragraph" w:customStyle="1" w:styleId="OriginalPubDate">
    <w:name w:val="Original Pub Date"/>
    <w:basedOn w:val="Normal"/>
    <w:semiHidden/>
    <w:rsid w:val="00DC0D73"/>
    <w:pPr>
      <w:spacing w:line="260" w:lineRule="atLeast"/>
    </w:pPr>
    <w:rPr>
      <w:vanish/>
      <w:szCs w:val="20"/>
    </w:rPr>
  </w:style>
  <w:style w:type="paragraph" w:customStyle="1" w:styleId="otherheading2">
    <w:name w:val="otherheading 2"/>
    <w:basedOn w:val="Heading2"/>
    <w:next w:val="Normal"/>
    <w:semiHidden/>
    <w:rsid w:val="009B2DFB"/>
    <w:pPr>
      <w:outlineLvl w:val="9"/>
    </w:pPr>
  </w:style>
  <w:style w:type="paragraph" w:customStyle="1" w:styleId="otherheading3">
    <w:name w:val="otherheading 3"/>
    <w:basedOn w:val="Heading3"/>
    <w:next w:val="Normal"/>
    <w:semiHidden/>
    <w:rsid w:val="009B2DFB"/>
    <w:pPr>
      <w:outlineLvl w:val="9"/>
    </w:pPr>
  </w:style>
  <w:style w:type="paragraph" w:customStyle="1" w:styleId="otherheading4">
    <w:name w:val="otherheading 4"/>
    <w:basedOn w:val="Heading4"/>
    <w:next w:val="Normal"/>
    <w:semiHidden/>
    <w:rsid w:val="009B2DFB"/>
    <w:pPr>
      <w:outlineLvl w:val="9"/>
    </w:pPr>
  </w:style>
  <w:style w:type="character" w:styleId="PageNumber">
    <w:name w:val="page number"/>
    <w:basedOn w:val="DefaultParagraphFont"/>
    <w:semiHidden/>
    <w:rsid w:val="00DC0D73"/>
  </w:style>
  <w:style w:type="paragraph" w:customStyle="1" w:styleId="ProjectLeader">
    <w:name w:val="Project Leader"/>
    <w:basedOn w:val="Declassifyon"/>
    <w:semiHidden/>
    <w:rsid w:val="00DC0D73"/>
    <w:pPr>
      <w:spacing w:before="43"/>
    </w:pPr>
  </w:style>
  <w:style w:type="paragraph" w:customStyle="1" w:styleId="ProjectLeaderName">
    <w:name w:val="Project Leader Name"/>
    <w:basedOn w:val="DeclassifyHere"/>
    <w:semiHidden/>
    <w:rsid w:val="00DC0D73"/>
  </w:style>
  <w:style w:type="paragraph" w:customStyle="1" w:styleId="ProjectNumber">
    <w:name w:val="Project Number"/>
    <w:basedOn w:val="Pre-PrintedText"/>
    <w:semiHidden/>
    <w:rsid w:val="00DC0D73"/>
    <w:pPr>
      <w:spacing w:line="180" w:lineRule="exact"/>
      <w:ind w:right="-108"/>
    </w:pPr>
    <w:rPr>
      <w:b/>
    </w:rPr>
  </w:style>
  <w:style w:type="paragraph" w:customStyle="1" w:styleId="Quotation">
    <w:name w:val="Quotation"/>
    <w:basedOn w:val="Normal"/>
    <w:next w:val="NoblisTableSubheading"/>
    <w:semiHidden/>
    <w:rsid w:val="00C26AEE"/>
    <w:pPr>
      <w:spacing w:after="140" w:line="280" w:lineRule="atLeast"/>
      <w:ind w:left="360" w:right="720"/>
    </w:pPr>
    <w:rPr>
      <w:szCs w:val="20"/>
    </w:rPr>
  </w:style>
  <w:style w:type="paragraph" w:customStyle="1" w:styleId="SectionHeader">
    <w:name w:val="Section Header"/>
    <w:basedOn w:val="Heading1"/>
    <w:next w:val="Normal"/>
    <w:semiHidden/>
    <w:rsid w:val="009B2DFB"/>
    <w:pPr>
      <w:outlineLvl w:val="9"/>
    </w:pPr>
  </w:style>
  <w:style w:type="paragraph" w:customStyle="1" w:styleId="SectionHeading">
    <w:name w:val="Section Heading"/>
    <w:basedOn w:val="Heading1"/>
    <w:semiHidden/>
    <w:rsid w:val="009B2DFB"/>
    <w:pPr>
      <w:tabs>
        <w:tab w:val="left" w:pos="360"/>
      </w:tabs>
      <w:spacing w:after="480" w:line="260" w:lineRule="auto"/>
      <w:jc w:val="center"/>
      <w:outlineLvl w:val="9"/>
    </w:pPr>
    <w:rPr>
      <w:sz w:val="24"/>
    </w:rPr>
  </w:style>
  <w:style w:type="paragraph" w:customStyle="1" w:styleId="SectionNoHeading">
    <w:name w:val="Section No Heading"/>
    <w:basedOn w:val="Normal"/>
    <w:rsid w:val="00C26AEE"/>
    <w:pPr>
      <w:tabs>
        <w:tab w:val="left" w:pos="360"/>
      </w:tabs>
      <w:spacing w:before="120" w:after="80" w:line="280" w:lineRule="atLeast"/>
    </w:pPr>
    <w:rPr>
      <w:b/>
      <w:szCs w:val="20"/>
    </w:rPr>
  </w:style>
  <w:style w:type="paragraph" w:customStyle="1" w:styleId="Signaturebox">
    <w:name w:val="Signature box"/>
    <w:basedOn w:val="Normal"/>
    <w:semiHidden/>
    <w:rsid w:val="00DC0D73"/>
    <w:pPr>
      <w:pBdr>
        <w:bottom w:val="single" w:sz="6" w:space="1" w:color="auto"/>
        <w:between w:val="single" w:sz="6" w:space="1" w:color="auto"/>
      </w:pBdr>
      <w:spacing w:before="403" w:line="260" w:lineRule="atLeast"/>
      <w:ind w:right="14"/>
    </w:pPr>
    <w:rPr>
      <w:rFonts w:ascii="Helvetica" w:hAnsi="Helvetica"/>
      <w:szCs w:val="20"/>
    </w:rPr>
  </w:style>
  <w:style w:type="paragraph" w:customStyle="1" w:styleId="Sponsor0">
    <w:name w:val="Sponsor:"/>
    <w:basedOn w:val="Normal"/>
    <w:semiHidden/>
    <w:rsid w:val="00DC0D73"/>
    <w:pPr>
      <w:spacing w:before="187" w:after="274" w:line="260" w:lineRule="atLeast"/>
    </w:pPr>
    <w:rPr>
      <w:rFonts w:ascii="Helvetica" w:hAnsi="Helvetica"/>
      <w:b/>
      <w:sz w:val="20"/>
      <w:szCs w:val="20"/>
    </w:rPr>
  </w:style>
  <w:style w:type="paragraph" w:customStyle="1" w:styleId="SponsorHere">
    <w:name w:val="SponsorHere"/>
    <w:basedOn w:val="Normal"/>
    <w:next w:val="Normal"/>
    <w:semiHidden/>
    <w:rsid w:val="00DC0D73"/>
    <w:pPr>
      <w:spacing w:before="158" w:line="260" w:lineRule="atLeast"/>
    </w:pPr>
    <w:rPr>
      <w:szCs w:val="20"/>
    </w:rPr>
  </w:style>
  <w:style w:type="paragraph" w:customStyle="1" w:styleId="SponsorHereSucceedi">
    <w:name w:val="SponsorHere Succeedi"/>
    <w:basedOn w:val="SponsorHere"/>
    <w:semiHidden/>
    <w:rsid w:val="00DC0D73"/>
    <w:pPr>
      <w:spacing w:before="0"/>
    </w:pPr>
  </w:style>
  <w:style w:type="paragraph" w:customStyle="1" w:styleId="SubTitle">
    <w:name w:val="Sub Title"/>
    <w:basedOn w:val="DocTitle"/>
    <w:semiHidden/>
    <w:rsid w:val="00DC0D73"/>
    <w:pPr>
      <w:spacing w:before="240"/>
    </w:pPr>
    <w:rPr>
      <w:sz w:val="36"/>
    </w:rPr>
  </w:style>
  <w:style w:type="paragraph" w:customStyle="1" w:styleId="TableText">
    <w:name w:val="Table Text"/>
    <w:semiHidden/>
    <w:rsid w:val="00DC0D73"/>
    <w:pPr>
      <w:spacing w:before="40" w:after="60" w:line="280" w:lineRule="atLeast"/>
    </w:pPr>
    <w:rPr>
      <w:rFonts w:ascii="Times" w:hAnsi="Times"/>
      <w:sz w:val="24"/>
    </w:rPr>
  </w:style>
  <w:style w:type="paragraph" w:customStyle="1" w:styleId="TableColumnHeadings">
    <w:name w:val="Table Column Headings"/>
    <w:basedOn w:val="TableText"/>
    <w:semiHidden/>
    <w:rsid w:val="00DC0D73"/>
    <w:pPr>
      <w:keepNext/>
      <w:jc w:val="center"/>
    </w:pPr>
    <w:rPr>
      <w:b/>
    </w:rPr>
  </w:style>
  <w:style w:type="paragraph" w:styleId="TableofFigures">
    <w:name w:val="table of figures"/>
    <w:basedOn w:val="Normal"/>
    <w:next w:val="Normal"/>
    <w:uiPriority w:val="99"/>
    <w:locked/>
    <w:rsid w:val="00C26AEE"/>
    <w:pPr>
      <w:tabs>
        <w:tab w:val="right" w:pos="9331"/>
      </w:tabs>
      <w:spacing w:after="140" w:line="280" w:lineRule="atLeast"/>
      <w:ind w:left="475" w:hanging="475"/>
    </w:pPr>
    <w:rPr>
      <w:color w:val="42637A"/>
    </w:rPr>
  </w:style>
  <w:style w:type="paragraph" w:customStyle="1" w:styleId="TitleHere">
    <w:name w:val="TitleHere"/>
    <w:basedOn w:val="Normal"/>
    <w:next w:val="Normal"/>
    <w:semiHidden/>
    <w:rsid w:val="00DC0D73"/>
    <w:pPr>
      <w:spacing w:before="432" w:line="260" w:lineRule="atLeast"/>
    </w:pPr>
    <w:rPr>
      <w:szCs w:val="20"/>
    </w:rPr>
  </w:style>
  <w:style w:type="paragraph" w:customStyle="1" w:styleId="TitleHereSucceeding">
    <w:name w:val="TitleHere Succeeding"/>
    <w:basedOn w:val="Normal"/>
    <w:semiHidden/>
    <w:rsid w:val="00DC0D73"/>
    <w:pPr>
      <w:spacing w:line="260" w:lineRule="atLeast"/>
    </w:pPr>
    <w:rPr>
      <w:szCs w:val="20"/>
    </w:rPr>
  </w:style>
  <w:style w:type="paragraph" w:styleId="TOC1">
    <w:name w:val="toc 1"/>
    <w:basedOn w:val="Normal"/>
    <w:next w:val="Normal"/>
    <w:uiPriority w:val="39"/>
    <w:locked/>
    <w:rsid w:val="007B560B"/>
    <w:pPr>
      <w:tabs>
        <w:tab w:val="right" w:pos="9360"/>
      </w:tabs>
      <w:spacing w:before="180" w:line="260" w:lineRule="atLeast"/>
      <w:ind w:left="270" w:hanging="270"/>
    </w:pPr>
    <w:rPr>
      <w:b/>
      <w:noProof/>
      <w:color w:val="42637A"/>
    </w:rPr>
  </w:style>
  <w:style w:type="paragraph" w:styleId="TOC2">
    <w:name w:val="toc 2"/>
    <w:basedOn w:val="TOC1"/>
    <w:next w:val="Normal"/>
    <w:uiPriority w:val="39"/>
    <w:locked/>
    <w:rsid w:val="00837D22"/>
    <w:pPr>
      <w:tabs>
        <w:tab w:val="left" w:pos="1260"/>
      </w:tabs>
      <w:spacing w:before="60"/>
      <w:ind w:left="630" w:hanging="450"/>
    </w:pPr>
    <w:rPr>
      <w:b w:val="0"/>
    </w:rPr>
  </w:style>
  <w:style w:type="paragraph" w:styleId="TOC3">
    <w:name w:val="toc 3"/>
    <w:basedOn w:val="TOC2"/>
    <w:next w:val="Normal"/>
    <w:uiPriority w:val="39"/>
    <w:locked/>
    <w:rsid w:val="001D126E"/>
    <w:pPr>
      <w:tabs>
        <w:tab w:val="clear" w:pos="1260"/>
      </w:tabs>
      <w:spacing w:before="0"/>
      <w:ind w:left="990" w:hanging="630"/>
    </w:pPr>
  </w:style>
  <w:style w:type="paragraph" w:styleId="TOC4">
    <w:name w:val="toc 4"/>
    <w:next w:val="Normal"/>
    <w:uiPriority w:val="39"/>
    <w:locked/>
    <w:rsid w:val="001D126E"/>
    <w:pPr>
      <w:tabs>
        <w:tab w:val="left" w:pos="2774"/>
        <w:tab w:val="right" w:pos="9360"/>
      </w:tabs>
      <w:ind w:left="1440" w:hanging="900"/>
    </w:pPr>
    <w:rPr>
      <w:rFonts w:ascii="Arial" w:hAnsi="Arial" w:cs="Arial"/>
      <w:noProof/>
    </w:rPr>
  </w:style>
  <w:style w:type="paragraph" w:styleId="TOC5">
    <w:name w:val="toc 5"/>
    <w:basedOn w:val="TOC1"/>
    <w:next w:val="Normal"/>
    <w:uiPriority w:val="39"/>
    <w:locked/>
    <w:rsid w:val="001D126E"/>
    <w:pPr>
      <w:spacing w:before="0"/>
      <w:ind w:left="1800" w:hanging="1080"/>
    </w:pPr>
    <w:rPr>
      <w:b w:val="0"/>
      <w:color w:val="auto"/>
    </w:rPr>
  </w:style>
  <w:style w:type="character" w:styleId="Hyperlink">
    <w:name w:val="Hyperlink"/>
    <w:basedOn w:val="DefaultParagraphFont"/>
    <w:uiPriority w:val="99"/>
    <w:rsid w:val="00DC0D73"/>
    <w:rPr>
      <w:strike w:val="0"/>
      <w:dstrike w:val="0"/>
      <w:color w:val="0000FF"/>
      <w:u w:val="none"/>
      <w:effect w:val="none"/>
    </w:rPr>
  </w:style>
  <w:style w:type="paragraph" w:customStyle="1" w:styleId="AppendixFigureCaption">
    <w:name w:val="Appendix Figure Caption"/>
    <w:basedOn w:val="Normal"/>
    <w:semiHidden/>
    <w:rsid w:val="00DC0D73"/>
    <w:pPr>
      <w:spacing w:before="140" w:after="120"/>
      <w:jc w:val="center"/>
    </w:pPr>
    <w:rPr>
      <w:b/>
      <w:bCs/>
      <w:szCs w:val="20"/>
      <w:lang w:eastAsia="ko-KR"/>
    </w:rPr>
  </w:style>
  <w:style w:type="paragraph" w:customStyle="1" w:styleId="Subcaption">
    <w:name w:val="Subcaption"/>
    <w:basedOn w:val="Normal"/>
    <w:semiHidden/>
    <w:rsid w:val="00DC0D73"/>
    <w:pPr>
      <w:ind w:left="360" w:right="360"/>
      <w:jc w:val="center"/>
    </w:pPr>
    <w:rPr>
      <w:sz w:val="20"/>
      <w:szCs w:val="20"/>
      <w:lang w:eastAsia="ko-KR"/>
    </w:rPr>
  </w:style>
  <w:style w:type="paragraph" w:customStyle="1" w:styleId="AppendixSubcaption">
    <w:name w:val="Appendix Subcaption"/>
    <w:basedOn w:val="Subcaption"/>
    <w:semiHidden/>
    <w:rsid w:val="00DC0D73"/>
  </w:style>
  <w:style w:type="paragraph" w:customStyle="1" w:styleId="AppendixTableCaption">
    <w:name w:val="Appendix Table Caption"/>
    <w:basedOn w:val="Normal"/>
    <w:semiHidden/>
    <w:rsid w:val="00DC0D73"/>
    <w:pPr>
      <w:spacing w:before="140" w:after="120"/>
      <w:jc w:val="center"/>
    </w:pPr>
    <w:rPr>
      <w:b/>
      <w:bCs/>
      <w:szCs w:val="20"/>
      <w:lang w:eastAsia="ko-KR"/>
    </w:rPr>
  </w:style>
  <w:style w:type="numbering" w:styleId="111111">
    <w:name w:val="Outline List 2"/>
    <w:basedOn w:val="NoList"/>
    <w:semiHidden/>
    <w:rsid w:val="00DC0D73"/>
    <w:pPr>
      <w:numPr>
        <w:numId w:val="1"/>
      </w:numPr>
    </w:pPr>
  </w:style>
  <w:style w:type="numbering" w:styleId="1ai">
    <w:name w:val="Outline List 1"/>
    <w:basedOn w:val="NoList"/>
    <w:semiHidden/>
    <w:rsid w:val="00DC0D73"/>
    <w:pPr>
      <w:numPr>
        <w:numId w:val="72"/>
      </w:numPr>
    </w:pPr>
  </w:style>
  <w:style w:type="numbering" w:styleId="ArticleSection">
    <w:name w:val="Outline List 3"/>
    <w:basedOn w:val="NoList"/>
    <w:semiHidden/>
    <w:rsid w:val="00DC0D73"/>
    <w:pPr>
      <w:numPr>
        <w:numId w:val="3"/>
      </w:numPr>
    </w:pPr>
  </w:style>
  <w:style w:type="paragraph" w:styleId="BlockText">
    <w:name w:val="Block Text"/>
    <w:basedOn w:val="Normal"/>
    <w:semiHidden/>
    <w:rsid w:val="00DC0D73"/>
    <w:pPr>
      <w:spacing w:after="120"/>
      <w:ind w:left="1440" w:right="1440"/>
    </w:pPr>
  </w:style>
  <w:style w:type="paragraph" w:styleId="BodyText">
    <w:name w:val="Body Text"/>
    <w:basedOn w:val="Normal"/>
    <w:link w:val="BodyTextChar"/>
    <w:uiPriority w:val="1"/>
    <w:rsid w:val="00DC0D73"/>
    <w:pPr>
      <w:spacing w:after="120"/>
    </w:pPr>
  </w:style>
  <w:style w:type="paragraph" w:styleId="BodyText2">
    <w:name w:val="Body Text 2"/>
    <w:basedOn w:val="Normal"/>
    <w:link w:val="BodyText2Char"/>
    <w:rsid w:val="00DC0D73"/>
    <w:pPr>
      <w:spacing w:after="120" w:line="480" w:lineRule="auto"/>
    </w:pPr>
  </w:style>
  <w:style w:type="paragraph" w:styleId="BodyText3">
    <w:name w:val="Body Text 3"/>
    <w:basedOn w:val="Normal"/>
    <w:semiHidden/>
    <w:rsid w:val="00DC0D73"/>
    <w:pPr>
      <w:spacing w:after="120"/>
    </w:pPr>
    <w:rPr>
      <w:sz w:val="16"/>
      <w:szCs w:val="16"/>
    </w:rPr>
  </w:style>
  <w:style w:type="paragraph" w:styleId="BodyTextFirstIndent">
    <w:name w:val="Body Text First Indent"/>
    <w:basedOn w:val="BodyText"/>
    <w:semiHidden/>
    <w:rsid w:val="00DC0D73"/>
    <w:pPr>
      <w:ind w:firstLine="210"/>
    </w:pPr>
  </w:style>
  <w:style w:type="paragraph" w:styleId="BodyTextIndent">
    <w:name w:val="Body Text Indent"/>
    <w:basedOn w:val="Normal"/>
    <w:semiHidden/>
    <w:rsid w:val="00DC0D73"/>
    <w:pPr>
      <w:spacing w:after="120"/>
      <w:ind w:left="360"/>
    </w:pPr>
  </w:style>
  <w:style w:type="paragraph" w:styleId="BodyTextFirstIndent2">
    <w:name w:val="Body Text First Indent 2"/>
    <w:basedOn w:val="BodyTextIndent"/>
    <w:semiHidden/>
    <w:rsid w:val="00DC0D73"/>
    <w:pPr>
      <w:ind w:firstLine="210"/>
    </w:pPr>
  </w:style>
  <w:style w:type="paragraph" w:styleId="BodyTextIndent2">
    <w:name w:val="Body Text Indent 2"/>
    <w:basedOn w:val="Normal"/>
    <w:semiHidden/>
    <w:rsid w:val="00DC0D73"/>
    <w:pPr>
      <w:spacing w:after="120" w:line="480" w:lineRule="auto"/>
      <w:ind w:left="360"/>
    </w:pPr>
  </w:style>
  <w:style w:type="paragraph" w:styleId="BodyTextIndent3">
    <w:name w:val="Body Text Indent 3"/>
    <w:basedOn w:val="Normal"/>
    <w:semiHidden/>
    <w:rsid w:val="00DC0D73"/>
    <w:pPr>
      <w:spacing w:after="120"/>
      <w:ind w:left="360"/>
    </w:pPr>
    <w:rPr>
      <w:sz w:val="16"/>
      <w:szCs w:val="16"/>
    </w:rPr>
  </w:style>
  <w:style w:type="paragraph" w:styleId="Closing">
    <w:name w:val="Closing"/>
    <w:basedOn w:val="Normal"/>
    <w:semiHidden/>
    <w:rsid w:val="00DC0D73"/>
    <w:pPr>
      <w:ind w:left="4320"/>
    </w:pPr>
  </w:style>
  <w:style w:type="paragraph" w:styleId="Date0">
    <w:name w:val="Date"/>
    <w:basedOn w:val="Normal"/>
    <w:next w:val="Normal"/>
    <w:semiHidden/>
    <w:rsid w:val="00DC0D73"/>
  </w:style>
  <w:style w:type="paragraph" w:styleId="E-mailSignature">
    <w:name w:val="E-mail Signature"/>
    <w:basedOn w:val="Normal"/>
    <w:semiHidden/>
    <w:rsid w:val="00DC0D73"/>
  </w:style>
  <w:style w:type="character" w:styleId="Emphasis">
    <w:name w:val="Emphasis"/>
    <w:basedOn w:val="DefaultParagraphFont"/>
    <w:qFormat/>
    <w:rsid w:val="001E6096"/>
    <w:rPr>
      <w:i/>
      <w:iCs/>
    </w:rPr>
  </w:style>
  <w:style w:type="paragraph" w:styleId="EnvelopeAddress">
    <w:name w:val="envelope address"/>
    <w:basedOn w:val="Normal"/>
    <w:semiHidden/>
    <w:rsid w:val="00DC0D73"/>
    <w:pPr>
      <w:framePr w:w="7920" w:h="1980" w:hRule="exact" w:hSpace="180" w:wrap="auto" w:hAnchor="page" w:xAlign="center" w:yAlign="bottom"/>
      <w:ind w:left="2880"/>
    </w:pPr>
  </w:style>
  <w:style w:type="paragraph" w:styleId="EnvelopeReturn">
    <w:name w:val="envelope return"/>
    <w:basedOn w:val="Normal"/>
    <w:semiHidden/>
    <w:rsid w:val="00DC0D73"/>
    <w:rPr>
      <w:sz w:val="20"/>
      <w:szCs w:val="20"/>
    </w:rPr>
  </w:style>
  <w:style w:type="character" w:styleId="FollowedHyperlink">
    <w:name w:val="FollowedHyperlink"/>
    <w:basedOn w:val="DefaultParagraphFont"/>
    <w:uiPriority w:val="99"/>
    <w:semiHidden/>
    <w:rsid w:val="00DC0D73"/>
    <w:rPr>
      <w:color w:val="606420"/>
      <w:u w:val="single"/>
    </w:rPr>
  </w:style>
  <w:style w:type="character" w:styleId="HTMLAcronym">
    <w:name w:val="HTML Acronym"/>
    <w:basedOn w:val="DefaultParagraphFont"/>
    <w:semiHidden/>
    <w:rsid w:val="00DC0D73"/>
  </w:style>
  <w:style w:type="paragraph" w:styleId="HTMLAddress">
    <w:name w:val="HTML Address"/>
    <w:basedOn w:val="Normal"/>
    <w:semiHidden/>
    <w:rsid w:val="00DC0D73"/>
    <w:rPr>
      <w:i/>
      <w:iCs/>
    </w:rPr>
  </w:style>
  <w:style w:type="character" w:styleId="HTMLCite">
    <w:name w:val="HTML Cite"/>
    <w:basedOn w:val="DefaultParagraphFont"/>
    <w:uiPriority w:val="99"/>
    <w:semiHidden/>
    <w:rsid w:val="00DC0D73"/>
    <w:rPr>
      <w:i/>
      <w:iCs/>
    </w:rPr>
  </w:style>
  <w:style w:type="character" w:styleId="HTMLCode">
    <w:name w:val="HTML Code"/>
    <w:basedOn w:val="DefaultParagraphFont"/>
    <w:semiHidden/>
    <w:rsid w:val="00DC0D73"/>
    <w:rPr>
      <w:rFonts w:ascii="Courier New" w:hAnsi="Courier New" w:cs="Courier New"/>
      <w:sz w:val="20"/>
      <w:szCs w:val="20"/>
    </w:rPr>
  </w:style>
  <w:style w:type="character" w:styleId="HTMLDefinition">
    <w:name w:val="HTML Definition"/>
    <w:basedOn w:val="DefaultParagraphFont"/>
    <w:semiHidden/>
    <w:rsid w:val="00DC0D73"/>
    <w:rPr>
      <w:i/>
      <w:iCs/>
    </w:rPr>
  </w:style>
  <w:style w:type="character" w:styleId="HTMLKeyboard">
    <w:name w:val="HTML Keyboard"/>
    <w:basedOn w:val="DefaultParagraphFont"/>
    <w:semiHidden/>
    <w:rsid w:val="00DC0D73"/>
    <w:rPr>
      <w:rFonts w:ascii="Courier New" w:hAnsi="Courier New" w:cs="Courier New"/>
      <w:sz w:val="20"/>
      <w:szCs w:val="20"/>
    </w:rPr>
  </w:style>
  <w:style w:type="paragraph" w:styleId="HTMLPreformatted">
    <w:name w:val="HTML Preformatted"/>
    <w:basedOn w:val="Normal"/>
    <w:semiHidden/>
    <w:rsid w:val="00DC0D73"/>
    <w:rPr>
      <w:rFonts w:ascii="Courier New" w:hAnsi="Courier New" w:cs="Courier New"/>
      <w:sz w:val="20"/>
      <w:szCs w:val="20"/>
    </w:rPr>
  </w:style>
  <w:style w:type="character" w:styleId="HTMLSample">
    <w:name w:val="HTML Sample"/>
    <w:basedOn w:val="DefaultParagraphFont"/>
    <w:semiHidden/>
    <w:rsid w:val="00DC0D73"/>
    <w:rPr>
      <w:rFonts w:ascii="Courier New" w:hAnsi="Courier New" w:cs="Courier New"/>
    </w:rPr>
  </w:style>
  <w:style w:type="character" w:styleId="HTMLTypewriter">
    <w:name w:val="HTML Typewriter"/>
    <w:basedOn w:val="DefaultParagraphFont"/>
    <w:semiHidden/>
    <w:rsid w:val="00DC0D73"/>
    <w:rPr>
      <w:rFonts w:ascii="Courier New" w:hAnsi="Courier New" w:cs="Courier New"/>
      <w:sz w:val="20"/>
      <w:szCs w:val="20"/>
    </w:rPr>
  </w:style>
  <w:style w:type="character" w:styleId="HTMLVariable">
    <w:name w:val="HTML Variable"/>
    <w:basedOn w:val="DefaultParagraphFont"/>
    <w:semiHidden/>
    <w:rsid w:val="00DC0D73"/>
    <w:rPr>
      <w:i/>
      <w:iCs/>
    </w:rPr>
  </w:style>
  <w:style w:type="paragraph" w:styleId="List">
    <w:name w:val="List"/>
    <w:basedOn w:val="Normal"/>
    <w:semiHidden/>
    <w:rsid w:val="00DC0D73"/>
    <w:pPr>
      <w:ind w:left="360" w:hanging="360"/>
    </w:pPr>
  </w:style>
  <w:style w:type="paragraph" w:styleId="List2">
    <w:name w:val="List 2"/>
    <w:basedOn w:val="Normal"/>
    <w:semiHidden/>
    <w:rsid w:val="00DC0D73"/>
    <w:pPr>
      <w:ind w:left="720" w:hanging="360"/>
    </w:pPr>
  </w:style>
  <w:style w:type="paragraph" w:styleId="List3">
    <w:name w:val="List 3"/>
    <w:basedOn w:val="Normal"/>
    <w:semiHidden/>
    <w:rsid w:val="00DC0D73"/>
    <w:pPr>
      <w:ind w:left="1080" w:hanging="360"/>
    </w:pPr>
  </w:style>
  <w:style w:type="paragraph" w:styleId="List4">
    <w:name w:val="List 4"/>
    <w:basedOn w:val="Normal"/>
    <w:semiHidden/>
    <w:rsid w:val="00DC0D73"/>
    <w:pPr>
      <w:ind w:left="1440" w:hanging="360"/>
    </w:pPr>
  </w:style>
  <w:style w:type="paragraph" w:styleId="List5">
    <w:name w:val="List 5"/>
    <w:basedOn w:val="Normal"/>
    <w:semiHidden/>
    <w:rsid w:val="00DC0D73"/>
    <w:pPr>
      <w:ind w:left="1800" w:hanging="360"/>
    </w:pPr>
  </w:style>
  <w:style w:type="paragraph" w:styleId="ListBullet">
    <w:name w:val="List Bullet"/>
    <w:basedOn w:val="Normal"/>
    <w:semiHidden/>
    <w:rsid w:val="00DC0D73"/>
    <w:pPr>
      <w:numPr>
        <w:numId w:val="4"/>
      </w:numPr>
    </w:pPr>
  </w:style>
  <w:style w:type="paragraph" w:styleId="ListBullet2">
    <w:name w:val="List Bullet 2"/>
    <w:basedOn w:val="Normal"/>
    <w:semiHidden/>
    <w:rsid w:val="00DC0D73"/>
    <w:pPr>
      <w:numPr>
        <w:numId w:val="5"/>
      </w:numPr>
    </w:pPr>
  </w:style>
  <w:style w:type="paragraph" w:styleId="ListBullet3">
    <w:name w:val="List Bullet 3"/>
    <w:basedOn w:val="Normal"/>
    <w:semiHidden/>
    <w:rsid w:val="00DC0D73"/>
    <w:pPr>
      <w:numPr>
        <w:numId w:val="6"/>
      </w:numPr>
    </w:pPr>
  </w:style>
  <w:style w:type="paragraph" w:styleId="ListBullet4">
    <w:name w:val="List Bullet 4"/>
    <w:basedOn w:val="Normal"/>
    <w:semiHidden/>
    <w:rsid w:val="00DC0D73"/>
    <w:pPr>
      <w:numPr>
        <w:numId w:val="7"/>
      </w:numPr>
    </w:pPr>
  </w:style>
  <w:style w:type="paragraph" w:styleId="ListBullet5">
    <w:name w:val="List Bullet 5"/>
    <w:basedOn w:val="Normal"/>
    <w:semiHidden/>
    <w:rsid w:val="00DC0D73"/>
    <w:pPr>
      <w:numPr>
        <w:numId w:val="8"/>
      </w:numPr>
    </w:pPr>
  </w:style>
  <w:style w:type="paragraph" w:styleId="ListContinue">
    <w:name w:val="List Continue"/>
    <w:basedOn w:val="Normal"/>
    <w:semiHidden/>
    <w:rsid w:val="00DC0D73"/>
    <w:pPr>
      <w:spacing w:after="120"/>
      <w:ind w:left="360"/>
    </w:pPr>
  </w:style>
  <w:style w:type="paragraph" w:styleId="ListContinue2">
    <w:name w:val="List Continue 2"/>
    <w:basedOn w:val="Normal"/>
    <w:semiHidden/>
    <w:rsid w:val="00DC0D73"/>
    <w:pPr>
      <w:spacing w:after="120"/>
      <w:ind w:left="720"/>
    </w:pPr>
  </w:style>
  <w:style w:type="paragraph" w:styleId="ListContinue3">
    <w:name w:val="List Continue 3"/>
    <w:basedOn w:val="Normal"/>
    <w:semiHidden/>
    <w:rsid w:val="00DC0D73"/>
    <w:pPr>
      <w:spacing w:after="120"/>
      <w:ind w:left="1080"/>
    </w:pPr>
  </w:style>
  <w:style w:type="paragraph" w:styleId="ListContinue4">
    <w:name w:val="List Continue 4"/>
    <w:basedOn w:val="Normal"/>
    <w:semiHidden/>
    <w:rsid w:val="00DC0D73"/>
    <w:pPr>
      <w:spacing w:after="120"/>
      <w:ind w:left="1440"/>
    </w:pPr>
  </w:style>
  <w:style w:type="paragraph" w:styleId="ListContinue5">
    <w:name w:val="List Continue 5"/>
    <w:basedOn w:val="Normal"/>
    <w:semiHidden/>
    <w:rsid w:val="00DC0D73"/>
    <w:pPr>
      <w:spacing w:after="120"/>
      <w:ind w:left="1800"/>
    </w:pPr>
  </w:style>
  <w:style w:type="paragraph" w:styleId="ListNumber">
    <w:name w:val="List Number"/>
    <w:basedOn w:val="Normal"/>
    <w:semiHidden/>
    <w:rsid w:val="00DC0D73"/>
    <w:pPr>
      <w:numPr>
        <w:numId w:val="9"/>
      </w:numPr>
    </w:pPr>
  </w:style>
  <w:style w:type="paragraph" w:styleId="ListNumber2">
    <w:name w:val="List Number 2"/>
    <w:basedOn w:val="Normal"/>
    <w:semiHidden/>
    <w:rsid w:val="00DC0D73"/>
    <w:pPr>
      <w:numPr>
        <w:numId w:val="10"/>
      </w:numPr>
    </w:pPr>
  </w:style>
  <w:style w:type="paragraph" w:styleId="ListNumber3">
    <w:name w:val="List Number 3"/>
    <w:basedOn w:val="Normal"/>
    <w:semiHidden/>
    <w:rsid w:val="00DC0D73"/>
    <w:pPr>
      <w:numPr>
        <w:numId w:val="11"/>
      </w:numPr>
    </w:pPr>
  </w:style>
  <w:style w:type="paragraph" w:styleId="ListNumber4">
    <w:name w:val="List Number 4"/>
    <w:basedOn w:val="Normal"/>
    <w:semiHidden/>
    <w:rsid w:val="00DC0D73"/>
    <w:pPr>
      <w:numPr>
        <w:numId w:val="12"/>
      </w:numPr>
    </w:pPr>
  </w:style>
  <w:style w:type="paragraph" w:styleId="ListNumber5">
    <w:name w:val="List Number 5"/>
    <w:basedOn w:val="Normal"/>
    <w:semiHidden/>
    <w:rsid w:val="00DC0D73"/>
    <w:pPr>
      <w:numPr>
        <w:numId w:val="13"/>
      </w:numPr>
    </w:pPr>
  </w:style>
  <w:style w:type="paragraph" w:styleId="MessageHeader">
    <w:name w:val="Message Header"/>
    <w:basedOn w:val="Normal"/>
    <w:semiHidden/>
    <w:rsid w:val="00DC0D73"/>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Web">
    <w:name w:val="Normal (Web)"/>
    <w:basedOn w:val="Normal"/>
    <w:uiPriority w:val="99"/>
    <w:rsid w:val="00DC0D73"/>
  </w:style>
  <w:style w:type="paragraph" w:styleId="NoteHeading">
    <w:name w:val="Note Heading"/>
    <w:basedOn w:val="Normal"/>
    <w:next w:val="Normal"/>
    <w:semiHidden/>
    <w:rsid w:val="00DC0D73"/>
  </w:style>
  <w:style w:type="paragraph" w:styleId="PlainText">
    <w:name w:val="Plain Text"/>
    <w:basedOn w:val="Normal"/>
    <w:link w:val="PlainTextChar"/>
    <w:rsid w:val="00DC0D73"/>
    <w:rPr>
      <w:rFonts w:ascii="Courier New" w:hAnsi="Courier New" w:cs="Courier New"/>
      <w:sz w:val="20"/>
      <w:szCs w:val="20"/>
    </w:rPr>
  </w:style>
  <w:style w:type="paragraph" w:styleId="Salutation">
    <w:name w:val="Salutation"/>
    <w:basedOn w:val="Normal"/>
    <w:next w:val="Normal"/>
    <w:semiHidden/>
    <w:rsid w:val="00DC0D73"/>
  </w:style>
  <w:style w:type="paragraph" w:styleId="Signature">
    <w:name w:val="Signature"/>
    <w:basedOn w:val="Normal"/>
    <w:semiHidden/>
    <w:rsid w:val="00DC0D73"/>
    <w:pPr>
      <w:ind w:left="4320"/>
    </w:pPr>
  </w:style>
  <w:style w:type="character" w:styleId="Strong">
    <w:name w:val="Strong"/>
    <w:basedOn w:val="DefaultParagraphFont"/>
    <w:qFormat/>
    <w:rsid w:val="001E6096"/>
    <w:rPr>
      <w:b/>
      <w:bCs/>
    </w:rPr>
  </w:style>
  <w:style w:type="paragraph" w:styleId="Subtitle0">
    <w:name w:val="Subtitle"/>
    <w:basedOn w:val="Normal"/>
    <w:next w:val="Normal"/>
    <w:link w:val="SubtitleChar"/>
    <w:qFormat/>
    <w:rsid w:val="001E6096"/>
    <w:pPr>
      <w:numPr>
        <w:ilvl w:val="1"/>
      </w:numPr>
    </w:pPr>
    <w:rPr>
      <w:rFonts w:asciiTheme="majorHAnsi" w:eastAsiaTheme="majorEastAsia" w:hAnsiTheme="majorHAnsi" w:cstheme="majorBidi"/>
      <w:i/>
      <w:iCs/>
      <w:color w:val="4F81BD" w:themeColor="accent1"/>
      <w:spacing w:val="15"/>
    </w:rPr>
  </w:style>
  <w:style w:type="table" w:styleId="Table3Deffects1">
    <w:name w:val="Table 3D effects 1"/>
    <w:basedOn w:val="TableNormal"/>
    <w:semiHidden/>
    <w:rsid w:val="00DC0D7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C0D7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C0D7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C0D7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C0D7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C0D7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C0D7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C0D7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C0D7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C0D7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C0D7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C0D7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C0D7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C0D7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C0D7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C0D7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C0D7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C0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DC0D7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C0D7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C0D7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C0D7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C0D7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C0D7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C0D7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C0D7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C0D7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C0D7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C0D7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C0D7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C0D7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C0D7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C0D7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C0D7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C0D7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C0D7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C0D7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C0D7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C0D7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C0D7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C0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C0D7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C0D7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C0D7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blisExtraHeading1">
    <w:name w:val="Noblis Extra Heading 1"/>
    <w:basedOn w:val="PropHeading1"/>
    <w:next w:val="Noblisbodytext"/>
    <w:semiHidden/>
    <w:rsid w:val="00F17225"/>
  </w:style>
  <w:style w:type="paragraph" w:customStyle="1" w:styleId="NoblisHeading2">
    <w:name w:val="Noblis Heading 2"/>
    <w:basedOn w:val="PropHeading2"/>
    <w:next w:val="Noblisbodytext"/>
    <w:rsid w:val="00B9724E"/>
    <w:pPr>
      <w:numPr>
        <w:ilvl w:val="1"/>
        <w:numId w:val="18"/>
      </w:numPr>
      <w:spacing w:after="60"/>
      <w:outlineLvl w:val="1"/>
    </w:pPr>
  </w:style>
  <w:style w:type="paragraph" w:customStyle="1" w:styleId="NoblisHeading3">
    <w:name w:val="Noblis Heading 3"/>
    <w:basedOn w:val="PropHeading3"/>
    <w:next w:val="Noblisbodytext"/>
    <w:rsid w:val="009B2DFB"/>
    <w:pPr>
      <w:keepNext/>
      <w:numPr>
        <w:ilvl w:val="2"/>
        <w:numId w:val="18"/>
      </w:numPr>
    </w:pPr>
    <w:rPr>
      <w:rFonts w:ascii="Arial" w:hAnsi="Arial"/>
    </w:rPr>
  </w:style>
  <w:style w:type="paragraph" w:customStyle="1" w:styleId="FourthLevelHeading">
    <w:name w:val="Fourth Level Heading"/>
    <w:basedOn w:val="Normal"/>
    <w:next w:val="BodyText"/>
    <w:semiHidden/>
    <w:rsid w:val="00DD7F1E"/>
  </w:style>
  <w:style w:type="paragraph" w:customStyle="1" w:styleId="NoblisHeading4">
    <w:name w:val="Noblis Heading 4"/>
    <w:basedOn w:val="Normal"/>
    <w:next w:val="Noblisbodytext"/>
    <w:rsid w:val="00031B89"/>
    <w:pPr>
      <w:keepNext/>
      <w:numPr>
        <w:ilvl w:val="3"/>
        <w:numId w:val="18"/>
      </w:numPr>
      <w:tabs>
        <w:tab w:val="left" w:pos="936"/>
      </w:tabs>
      <w:spacing w:before="60" w:after="30"/>
    </w:pPr>
    <w:rPr>
      <w:b/>
      <w:bCs/>
      <w:color w:val="42637A"/>
    </w:rPr>
  </w:style>
  <w:style w:type="paragraph" w:customStyle="1" w:styleId="NoblisExtraHeading5">
    <w:name w:val="Noblis Extra Heading 5"/>
    <w:basedOn w:val="Normal"/>
    <w:next w:val="Noblisbodytext"/>
    <w:semiHidden/>
    <w:rsid w:val="00F17225"/>
    <w:pPr>
      <w:numPr>
        <w:numId w:val="23"/>
      </w:numPr>
      <w:spacing w:before="60" w:after="20"/>
    </w:pPr>
    <w:rPr>
      <w:rFonts w:ascii="Arial Bold" w:hAnsi="Arial Bold"/>
      <w:b/>
      <w:color w:val="42637A"/>
    </w:rPr>
  </w:style>
  <w:style w:type="paragraph" w:styleId="Caption">
    <w:name w:val="caption"/>
    <w:basedOn w:val="Normal"/>
    <w:next w:val="Normal"/>
    <w:qFormat/>
    <w:locked/>
    <w:rsid w:val="007C4363"/>
    <w:rPr>
      <w:b/>
      <w:bCs/>
      <w:szCs w:val="20"/>
    </w:rPr>
  </w:style>
  <w:style w:type="paragraph" w:customStyle="1" w:styleId="NoblisTableofContentsHeading">
    <w:name w:val="Noblis Table of Contents Heading"/>
    <w:basedOn w:val="NoblisFrontMatterHeader"/>
    <w:next w:val="BodyText"/>
    <w:rsid w:val="009B2DFB"/>
    <w:pPr>
      <w:pBdr>
        <w:bottom w:val="single" w:sz="4" w:space="1" w:color="B2C30D"/>
      </w:pBdr>
      <w:spacing w:before="480" w:after="240"/>
    </w:pPr>
  </w:style>
  <w:style w:type="paragraph" w:customStyle="1" w:styleId="NoblisFigureCaption">
    <w:name w:val="Noblis Figure Caption"/>
    <w:basedOn w:val="Caption"/>
    <w:rsid w:val="009D6423"/>
    <w:pPr>
      <w:spacing w:before="120" w:after="120"/>
      <w:jc w:val="center"/>
    </w:pPr>
    <w:rPr>
      <w:color w:val="42637A"/>
    </w:rPr>
  </w:style>
  <w:style w:type="paragraph" w:customStyle="1" w:styleId="NoblisTableCaption">
    <w:name w:val="Noblis Table Caption"/>
    <w:basedOn w:val="Caption"/>
    <w:rsid w:val="00B528D6"/>
    <w:pPr>
      <w:keepNext/>
      <w:spacing w:before="120" w:after="120"/>
      <w:jc w:val="center"/>
    </w:pPr>
    <w:rPr>
      <w:color w:val="42637A"/>
    </w:rPr>
  </w:style>
  <w:style w:type="table" w:customStyle="1" w:styleId="NoblisAcronymList">
    <w:name w:val="Noblis Acronym List"/>
    <w:basedOn w:val="TableNormal"/>
    <w:rsid w:val="00532DB7"/>
    <w:pPr>
      <w:spacing w:after="60"/>
    </w:pPr>
    <w:rPr>
      <w:sz w:val="24"/>
    </w:rPr>
    <w:tblPr>
      <w:tblCellMar>
        <w:left w:w="72" w:type="dxa"/>
        <w:right w:w="72" w:type="dxa"/>
      </w:tblCellMar>
    </w:tblPr>
    <w:trPr>
      <w:cantSplit/>
    </w:trPr>
    <w:tblStylePr w:type="firstCol">
      <w:rPr>
        <w:rFonts w:ascii="Times New Roman" w:hAnsi="Times New Roman"/>
        <w:b/>
        <w:color w:val="42637A"/>
        <w:sz w:val="24"/>
      </w:rPr>
      <w:tblPr/>
      <w:tcPr>
        <w:tcBorders>
          <w:top w:val="nil"/>
          <w:left w:val="nil"/>
          <w:bottom w:val="nil"/>
          <w:right w:val="nil"/>
          <w:insideH w:val="nil"/>
          <w:insideV w:val="nil"/>
          <w:tl2br w:val="nil"/>
          <w:tr2bl w:val="nil"/>
        </w:tcBorders>
      </w:tcPr>
    </w:tblStylePr>
  </w:style>
  <w:style w:type="paragraph" w:customStyle="1" w:styleId="PropAcronymSpelloutText">
    <w:name w:val="Prop Acronym Spellout Text"/>
    <w:semiHidden/>
    <w:rsid w:val="00532DB7"/>
    <w:rPr>
      <w:sz w:val="24"/>
      <w:szCs w:val="24"/>
    </w:rPr>
  </w:style>
  <w:style w:type="character" w:customStyle="1" w:styleId="PropAcronymTextBold">
    <w:name w:val="Prop Acronym Text Bold"/>
    <w:basedOn w:val="DefaultParagraphFont"/>
    <w:semiHidden/>
    <w:rsid w:val="00532DB7"/>
    <w:rPr>
      <w:rFonts w:ascii="Times New Roman Bold" w:hAnsi="Times New Roman Bold"/>
      <w:b/>
      <w:color w:val="42637A"/>
      <w:sz w:val="24"/>
      <w:u w:val="none"/>
    </w:rPr>
  </w:style>
  <w:style w:type="paragraph" w:customStyle="1" w:styleId="PropFigureCaption">
    <w:name w:val="Prop Figure Caption"/>
    <w:basedOn w:val="Caption"/>
    <w:semiHidden/>
    <w:rsid w:val="00532DB7"/>
    <w:pPr>
      <w:spacing w:before="120" w:after="120"/>
      <w:jc w:val="center"/>
    </w:pPr>
    <w:rPr>
      <w:color w:val="42637A"/>
    </w:rPr>
  </w:style>
  <w:style w:type="paragraph" w:customStyle="1" w:styleId="PropActionCaption">
    <w:name w:val="Prop Action Caption"/>
    <w:basedOn w:val="PropFigureCaption"/>
    <w:semiHidden/>
    <w:rsid w:val="00532DB7"/>
    <w:pPr>
      <w:keepNext/>
      <w:spacing w:before="0"/>
    </w:pPr>
    <w:rPr>
      <w:b w:val="0"/>
      <w:bCs w:val="0"/>
      <w:i/>
      <w:iCs/>
    </w:rPr>
  </w:style>
  <w:style w:type="paragraph" w:customStyle="1" w:styleId="Noblisbullet3">
    <w:name w:val="Noblis bullet 3"/>
    <w:basedOn w:val="Normal"/>
    <w:rsid w:val="002F1F0E"/>
    <w:pPr>
      <w:numPr>
        <w:ilvl w:val="2"/>
        <w:numId w:val="15"/>
      </w:numPr>
      <w:tabs>
        <w:tab w:val="left" w:pos="1080"/>
      </w:tabs>
    </w:pPr>
  </w:style>
  <w:style w:type="table" w:customStyle="1" w:styleId="NoblisTablewoSubheadings">
    <w:name w:val="Noblis Table w/o Subheadings"/>
    <w:basedOn w:val="TableGrid"/>
    <w:rsid w:val="003E7A67"/>
    <w:rPr>
      <w:rFonts w:ascii="Arial" w:hAnsi="Arial" w:cs="Arial Narrow"/>
      <w:sz w:val="24"/>
    </w:rPr>
    <w:tblPr>
      <w:tblStyleRowBandSize w:val="1"/>
      <w:tblStyleColBandSize w:val="1"/>
      <w:jc w:val="center"/>
      <w:tblCellMar>
        <w:left w:w="58" w:type="dxa"/>
        <w:right w:w="58" w:type="dxa"/>
      </w:tblCellMar>
    </w:tblPr>
    <w:trPr>
      <w:jc w:val="center"/>
    </w:trPr>
    <w:tblStylePr w:type="firstRow">
      <w:pPr>
        <w:jc w:val="center"/>
      </w:pPr>
      <w:rPr>
        <w:rFonts w:ascii="Arial" w:hAnsi="Arial"/>
        <w:b w:val="0"/>
        <w:i w:val="0"/>
        <w:color w:val="FFFFFF"/>
        <w:sz w:val="24"/>
      </w:rPr>
      <w:tblPr/>
      <w:tcPr>
        <w:tcBorders>
          <w:insideH w:val="nil"/>
          <w:insideV w:val="single" w:sz="4" w:space="0" w:color="FFFFFF"/>
        </w:tcBorders>
        <w:shd w:val="clear" w:color="auto" w:fill="42637A"/>
        <w:vAlign w:val="center"/>
      </w:tcPr>
    </w:tblStylePr>
    <w:tblStylePr w:type="firstCol">
      <w:pPr>
        <w:jc w:val="left"/>
      </w:pPr>
      <w:rPr>
        <w:rFonts w:ascii="Broadway" w:hAnsi="Broadway"/>
        <w:sz w:val="20"/>
      </w:rPr>
      <w:tblPr/>
      <w:tcPr>
        <w:vAlign w:val="center"/>
      </w:tcPr>
    </w:tblStylePr>
    <w:tblStylePr w:type="lastCol">
      <w:rPr>
        <w:rFonts w:ascii="Broadway" w:hAnsi="Broadway"/>
        <w:sz w:val="20"/>
      </w:rPr>
    </w:tblStylePr>
    <w:tblStylePr w:type="band1Vert">
      <w:rPr>
        <w:rFonts w:ascii="Broadway" w:hAnsi="Broadway"/>
        <w:sz w:val="20"/>
      </w:rPr>
    </w:tblStylePr>
    <w:tblStylePr w:type="band2Vert">
      <w:rPr>
        <w:rFonts w:ascii="Broadway" w:hAnsi="Broadway"/>
        <w:sz w:val="20"/>
      </w:rPr>
    </w:tblStylePr>
    <w:tblStylePr w:type="band1Horz">
      <w:rPr>
        <w:rFonts w:ascii="Broadway" w:hAnsi="Broadway"/>
        <w:sz w:val="20"/>
      </w:rPr>
      <w:tblPr/>
      <w:tcPr>
        <w:shd w:val="clear" w:color="auto" w:fill="FFFFFF"/>
      </w:tcPr>
    </w:tblStylePr>
    <w:tblStylePr w:type="band2Horz">
      <w:rPr>
        <w:rFonts w:ascii="Broadway" w:hAnsi="Broadway"/>
        <w:sz w:val="20"/>
      </w:rPr>
      <w:tblPr/>
      <w:tcPr>
        <w:shd w:val="clear" w:color="auto" w:fill="FFF5D6"/>
      </w:tcPr>
    </w:tblStylePr>
    <w:tblStylePr w:type="neCell">
      <w:rPr>
        <w:rFonts w:ascii="Arial" w:hAnsi="Arial"/>
        <w:sz w:val="24"/>
      </w:rPr>
    </w:tblStylePr>
    <w:tblStylePr w:type="nwCell">
      <w:rPr>
        <w:rFonts w:ascii="Arial" w:hAnsi="Arial"/>
        <w:sz w:val="24"/>
      </w:rPr>
    </w:tblStylePr>
    <w:tblStylePr w:type="seCell">
      <w:rPr>
        <w:rFonts w:ascii="Broadway" w:hAnsi="Broadway"/>
        <w:sz w:val="20"/>
      </w:rPr>
    </w:tblStylePr>
    <w:tblStylePr w:type="swCell">
      <w:rPr>
        <w:rFonts w:ascii="Broadway" w:hAnsi="Broadway"/>
        <w:sz w:val="20"/>
      </w:rPr>
    </w:tblStylePr>
  </w:style>
  <w:style w:type="paragraph" w:customStyle="1" w:styleId="NoblisTableofFigures">
    <w:name w:val="Noblis Table of Figures"/>
    <w:basedOn w:val="Normal"/>
    <w:rsid w:val="007956A8"/>
    <w:pPr>
      <w:tabs>
        <w:tab w:val="right" w:pos="9306"/>
      </w:tabs>
    </w:pPr>
    <w:rPr>
      <w:bCs/>
      <w:sz w:val="20"/>
    </w:rPr>
  </w:style>
  <w:style w:type="table" w:customStyle="1" w:styleId="NoblisCalloutBox">
    <w:name w:val="Noblis Callout Box"/>
    <w:basedOn w:val="TableSimple1"/>
    <w:locked/>
    <w:rsid w:val="00770A38"/>
    <w:pPr>
      <w:keepLines/>
      <w:suppressLineNumbers/>
      <w:spacing w:before="180" w:after="180" w:line="400" w:lineRule="atLeast"/>
      <w:jc w:val="center"/>
    </w:pPr>
    <w:rPr>
      <w:rFonts w:ascii="Arial" w:hAnsi="Arial" w:cs="Arial"/>
      <w:i/>
      <w:iCs/>
      <w:color w:val="42637A"/>
      <w:spacing w:val="6"/>
      <w:sz w:val="28"/>
      <w:szCs w:val="32"/>
    </w:rPr>
    <w:tblPr>
      <w:tblStyleRowBandSize w:val="1"/>
      <w:jc w:val="right"/>
      <w:tblCellMar>
        <w:left w:w="115" w:type="dxa"/>
        <w:right w:w="115" w:type="dxa"/>
      </w:tblCellMar>
    </w:tblPr>
    <w:trPr>
      <w:jc w:val="right"/>
    </w:trPr>
    <w:tcPr>
      <w:shd w:val="clear" w:color="auto" w:fill="auto"/>
    </w:tcPr>
    <w:tblStylePr w:type="firstRow">
      <w:rPr>
        <w:rFonts w:ascii="Arial" w:hAnsi="Arial"/>
        <w:i/>
        <w:sz w:val="28"/>
      </w:rPr>
      <w:tblPr/>
      <w:tcPr>
        <w:tcBorders>
          <w:top w:val="single" w:sz="12" w:space="0" w:color="A6B41E"/>
          <w:left w:val="single" w:sz="12" w:space="0" w:color="A6B41E"/>
          <w:bottom w:val="single" w:sz="24" w:space="0" w:color="9DAC46"/>
          <w:right w:val="single" w:sz="24" w:space="0" w:color="9DAC46"/>
          <w:insideH w:val="nil"/>
          <w:insideV w:val="nil"/>
          <w:tl2br w:val="nil"/>
          <w:tr2bl w:val="nil"/>
        </w:tcBorders>
        <w:shd w:val="clear" w:color="auto" w:fill="auto"/>
      </w:tcPr>
    </w:tblStylePr>
    <w:tblStylePr w:type="lastRow">
      <w:tblPr/>
      <w:tcPr>
        <w:tcBorders>
          <w:top w:val="single" w:sz="6" w:space="0" w:color="008000"/>
          <w:tl2br w:val="none" w:sz="0" w:space="0" w:color="auto"/>
          <w:tr2bl w:val="none" w:sz="0" w:space="0" w:color="auto"/>
        </w:tcBorders>
        <w:shd w:val="clear" w:color="auto" w:fill="8C8C8C"/>
      </w:tcPr>
    </w:tblStylePr>
    <w:tblStylePr w:type="lastCol">
      <w:tblPr/>
      <w:tcPr>
        <w:shd w:val="clear" w:color="auto" w:fill="8C8C8C"/>
      </w:tcPr>
    </w:tblStylePr>
    <w:tblStylePr w:type="band1Horz">
      <w:tblPr/>
      <w:tcPr>
        <w:tcBorders>
          <w:top w:val="nil"/>
          <w:left w:val="nil"/>
          <w:bottom w:val="nil"/>
          <w:right w:val="nil"/>
          <w:insideH w:val="nil"/>
          <w:insideV w:val="nil"/>
          <w:tl2br w:val="nil"/>
          <w:tr2bl w:val="nil"/>
        </w:tcBorders>
        <w:shd w:val="clear" w:color="auto" w:fill="auto"/>
      </w:tcPr>
    </w:tblStylePr>
    <w:tblStylePr w:type="nwCell">
      <w:tblPr/>
      <w:tcPr>
        <w:tcBorders>
          <w:bottom w:val="single" w:sz="12" w:space="0" w:color="C4D523"/>
          <w:insideH w:val="nil"/>
        </w:tcBorders>
        <w:shd w:val="clear" w:color="auto" w:fill="auto"/>
      </w:tcPr>
    </w:tblStylePr>
  </w:style>
  <w:style w:type="paragraph" w:customStyle="1" w:styleId="NoblisActionCaption">
    <w:name w:val="Noblis Action Caption"/>
    <w:basedOn w:val="NoblisFigureCaption"/>
    <w:rsid w:val="00E72EE8"/>
    <w:pPr>
      <w:keepNext/>
      <w:spacing w:before="0"/>
    </w:pPr>
    <w:rPr>
      <w:b w:val="0"/>
      <w:bCs w:val="0"/>
      <w:i/>
      <w:iCs/>
    </w:rPr>
  </w:style>
  <w:style w:type="paragraph" w:customStyle="1" w:styleId="Noblisbullet1last">
    <w:name w:val="Noblis bullet 1 last"/>
    <w:basedOn w:val="Noblisbullet1"/>
    <w:rsid w:val="002F1F0E"/>
    <w:pPr>
      <w:spacing w:after="120"/>
    </w:pPr>
  </w:style>
  <w:style w:type="paragraph" w:customStyle="1" w:styleId="Noblisbullet2last">
    <w:name w:val="Noblis bullet 2 last"/>
    <w:basedOn w:val="Noblisbullet2"/>
    <w:rsid w:val="00B605B8"/>
    <w:pPr>
      <w:spacing w:after="120"/>
    </w:pPr>
  </w:style>
  <w:style w:type="paragraph" w:customStyle="1" w:styleId="Noblisbullet3last">
    <w:name w:val="Noblis bullet 3 last"/>
    <w:basedOn w:val="Noblisbullet3"/>
    <w:rsid w:val="00C25D95"/>
    <w:pPr>
      <w:spacing w:after="80"/>
    </w:pPr>
  </w:style>
  <w:style w:type="paragraph" w:customStyle="1" w:styleId="PropFrontMatterHeader">
    <w:name w:val="Prop Front Matter Header"/>
    <w:basedOn w:val="Heading1"/>
    <w:next w:val="Normal"/>
    <w:semiHidden/>
    <w:rsid w:val="009B2DFB"/>
    <w:pPr>
      <w:outlineLvl w:val="9"/>
    </w:pPr>
    <w:rPr>
      <w:szCs w:val="32"/>
    </w:rPr>
  </w:style>
  <w:style w:type="character" w:customStyle="1" w:styleId="Heading1Char">
    <w:name w:val="Heading 1 Char"/>
    <w:aliases w:val="Noblis Heading 1 Char"/>
    <w:basedOn w:val="DefaultParagraphFont"/>
    <w:link w:val="Heading1"/>
    <w:rsid w:val="007C4363"/>
    <w:rPr>
      <w:rFonts w:ascii="Arial" w:eastAsiaTheme="majorEastAsia" w:hAnsi="Arial" w:cs="Arial"/>
      <w:b/>
      <w:sz w:val="28"/>
    </w:rPr>
  </w:style>
  <w:style w:type="character" w:customStyle="1" w:styleId="NoblisFrontMatterHeaderChar">
    <w:name w:val="Noblis Front Matter Header Char"/>
    <w:basedOn w:val="Heading1Char"/>
    <w:link w:val="NoblisFrontMatterHeader"/>
    <w:rsid w:val="005652BD"/>
    <w:rPr>
      <w:rFonts w:ascii="Arial" w:eastAsiaTheme="majorEastAsia" w:hAnsi="Arial" w:cs="Arial"/>
      <w:b/>
      <w:sz w:val="28"/>
      <w:szCs w:val="32"/>
    </w:rPr>
  </w:style>
  <w:style w:type="character" w:customStyle="1" w:styleId="NoblisBackMatterHeaderChar">
    <w:name w:val="Noblis Back Matter Header Char"/>
    <w:basedOn w:val="NoblisFrontMatterHeaderChar"/>
    <w:link w:val="NoblisBackMatterHeader"/>
    <w:rsid w:val="007956A8"/>
    <w:rPr>
      <w:rFonts w:ascii="Arial" w:eastAsiaTheme="majorEastAsia" w:hAnsi="Arial" w:cs="Arial"/>
      <w:b/>
      <w:sz w:val="28"/>
      <w:szCs w:val="32"/>
    </w:rPr>
  </w:style>
  <w:style w:type="paragraph" w:customStyle="1" w:styleId="Noblisbodytext">
    <w:name w:val="Noblis body text"/>
    <w:basedOn w:val="BodyText"/>
    <w:link w:val="NoblisbodytextChar"/>
    <w:rsid w:val="00D77936"/>
  </w:style>
  <w:style w:type="paragraph" w:customStyle="1" w:styleId="NoblisRunInHeading">
    <w:name w:val="Noblis RunIn Heading"/>
    <w:basedOn w:val="Noblisbodytext"/>
    <w:link w:val="NoblisRunInHeadingChar"/>
    <w:rsid w:val="007B560B"/>
    <w:rPr>
      <w:b/>
      <w:color w:val="E39407"/>
    </w:rPr>
  </w:style>
  <w:style w:type="paragraph" w:customStyle="1" w:styleId="NoblisTableHeading">
    <w:name w:val="Noblis Table Heading"/>
    <w:next w:val="NoblisTableText"/>
    <w:rsid w:val="005F14EA"/>
    <w:pPr>
      <w:jc w:val="center"/>
    </w:pPr>
    <w:rPr>
      <w:rFonts w:ascii="Arial" w:hAnsi="Arial" w:cs="Arial Narrow"/>
      <w:b/>
      <w:color w:val="FFFFFF"/>
      <w:sz w:val="24"/>
      <w:szCs w:val="18"/>
    </w:rPr>
  </w:style>
  <w:style w:type="paragraph" w:customStyle="1" w:styleId="NoblisTableText">
    <w:name w:val="Noblis Table Text"/>
    <w:basedOn w:val="BodyText"/>
    <w:rsid w:val="00B528D6"/>
    <w:pPr>
      <w:spacing w:before="20" w:after="20"/>
    </w:pPr>
    <w:rPr>
      <w:rFonts w:ascii="Arial Narrow" w:hAnsi="Arial Narrow" w:cs="Arial Narrow"/>
      <w:szCs w:val="18"/>
    </w:rPr>
  </w:style>
  <w:style w:type="paragraph" w:customStyle="1" w:styleId="NoblisTitlePageTextLevel1">
    <w:name w:val="Noblis Title Page Text Level 1"/>
    <w:basedOn w:val="Normal"/>
    <w:rsid w:val="0023529F"/>
    <w:rPr>
      <w:b/>
      <w:bCs/>
      <w:color w:val="42637A"/>
      <w:sz w:val="40"/>
      <w:szCs w:val="40"/>
    </w:rPr>
  </w:style>
  <w:style w:type="paragraph" w:customStyle="1" w:styleId="NoblisSpaceStyle">
    <w:name w:val="Noblis Space Style"/>
    <w:basedOn w:val="BodyText"/>
    <w:rsid w:val="0023529F"/>
    <w:rPr>
      <w:sz w:val="16"/>
      <w:szCs w:val="16"/>
    </w:rPr>
  </w:style>
  <w:style w:type="paragraph" w:customStyle="1" w:styleId="Noblistablebullet1">
    <w:name w:val="Noblis table bullet 1"/>
    <w:basedOn w:val="Noblisbullet1"/>
    <w:link w:val="Noblistablebullet1Char"/>
    <w:autoRedefine/>
    <w:rsid w:val="00046F7A"/>
    <w:pPr>
      <w:numPr>
        <w:numId w:val="24"/>
      </w:numPr>
      <w:ind w:left="360"/>
    </w:pPr>
    <w:rPr>
      <w:rFonts w:ascii="Arial Narrow" w:hAnsi="Arial Narrow" w:cs="Arial Narrow"/>
      <w:bCs/>
    </w:rPr>
  </w:style>
  <w:style w:type="paragraph" w:customStyle="1" w:styleId="Noblistablebullet1last">
    <w:name w:val="Noblis table bullet 1 last"/>
    <w:basedOn w:val="Noblistablebullet1"/>
    <w:link w:val="Noblistablebullet1lastChar"/>
    <w:rsid w:val="00103EBE"/>
    <w:pPr>
      <w:spacing w:after="120"/>
    </w:pPr>
  </w:style>
  <w:style w:type="paragraph" w:customStyle="1" w:styleId="NoblisExSumHeading2">
    <w:name w:val="Noblis ExSum Heading 2"/>
    <w:next w:val="Noblisbodytext"/>
    <w:rsid w:val="005652BD"/>
    <w:pPr>
      <w:spacing w:before="120" w:after="30"/>
    </w:pPr>
    <w:rPr>
      <w:rFonts w:ascii="Arial" w:hAnsi="Arial"/>
      <w:b/>
      <w:color w:val="42637A"/>
      <w:sz w:val="28"/>
      <w:szCs w:val="28"/>
    </w:rPr>
  </w:style>
  <w:style w:type="paragraph" w:customStyle="1" w:styleId="NoblisExSummHeading3">
    <w:name w:val="Noblis ExSumm Heading 3"/>
    <w:basedOn w:val="NoblisHeading3"/>
    <w:next w:val="Noblisbodytext"/>
    <w:rsid w:val="007B560B"/>
    <w:pPr>
      <w:numPr>
        <w:ilvl w:val="0"/>
        <w:numId w:val="0"/>
      </w:numPr>
    </w:pPr>
  </w:style>
  <w:style w:type="paragraph" w:customStyle="1" w:styleId="NoblisCoverAddressText">
    <w:name w:val="Noblis Cover Address Text"/>
    <w:rsid w:val="00E84D1E"/>
    <w:pPr>
      <w:spacing w:before="40" w:after="40"/>
      <w:jc w:val="right"/>
    </w:pPr>
    <w:rPr>
      <w:rFonts w:ascii="Arial" w:hAnsi="Arial" w:cs="Arial"/>
      <w:color w:val="42637A"/>
    </w:rPr>
  </w:style>
  <w:style w:type="character" w:customStyle="1" w:styleId="Noblistablebullet1Char">
    <w:name w:val="Noblis table bullet 1 Char"/>
    <w:basedOn w:val="DefaultParagraphFont"/>
    <w:link w:val="Noblistablebullet1"/>
    <w:rsid w:val="00046F7A"/>
    <w:rPr>
      <w:rFonts w:ascii="Arial Narrow" w:hAnsi="Arial Narrow" w:cs="Arial Narrow"/>
      <w:bCs/>
      <w:sz w:val="24"/>
      <w:szCs w:val="24"/>
    </w:rPr>
  </w:style>
  <w:style w:type="character" w:customStyle="1" w:styleId="Noblistablebullet1lastChar">
    <w:name w:val="Noblis table bullet 1 last Char"/>
    <w:basedOn w:val="Noblistablebullet1Char"/>
    <w:link w:val="Noblistablebullet1last"/>
    <w:rsid w:val="00103EBE"/>
    <w:rPr>
      <w:rFonts w:ascii="Arial Narrow" w:hAnsi="Arial Narrow" w:cs="Arial Narrow"/>
      <w:bCs/>
      <w:sz w:val="24"/>
      <w:szCs w:val="24"/>
    </w:rPr>
  </w:style>
  <w:style w:type="numbering" w:customStyle="1" w:styleId="Style1">
    <w:name w:val="Style1"/>
    <w:rsid w:val="00F17225"/>
    <w:pPr>
      <w:numPr>
        <w:numId w:val="22"/>
      </w:numPr>
    </w:pPr>
  </w:style>
  <w:style w:type="character" w:customStyle="1" w:styleId="NoblisAcronymTextBold">
    <w:name w:val="Noblis Acronym Text Bold"/>
    <w:basedOn w:val="DefaultParagraphFont"/>
    <w:rsid w:val="007B560B"/>
    <w:rPr>
      <w:rFonts w:ascii="Times New Roman" w:hAnsi="Times New Roman"/>
      <w:b/>
      <w:color w:val="42637A"/>
      <w:sz w:val="24"/>
      <w:u w:val="none"/>
    </w:rPr>
  </w:style>
  <w:style w:type="paragraph" w:customStyle="1" w:styleId="NoblisAcronymSpelloutText">
    <w:name w:val="Noblis Acronym Spellout Text"/>
    <w:rsid w:val="00837D22"/>
    <w:rPr>
      <w:rFonts w:ascii="Arial" w:hAnsi="Arial"/>
      <w:szCs w:val="24"/>
    </w:rPr>
  </w:style>
  <w:style w:type="numbering" w:customStyle="1" w:styleId="PropBulletList">
    <w:name w:val="Prop Bullet List"/>
    <w:locked/>
    <w:rsid w:val="00532DB7"/>
    <w:pPr>
      <w:numPr>
        <w:numId w:val="16"/>
      </w:numPr>
    </w:pPr>
  </w:style>
  <w:style w:type="paragraph" w:customStyle="1" w:styleId="NoblisFigureInsertIndicator">
    <w:name w:val="Noblis Figure Insert Indicator"/>
    <w:basedOn w:val="NoblisActionCaption"/>
    <w:rsid w:val="00333E54"/>
  </w:style>
  <w:style w:type="character" w:customStyle="1" w:styleId="BodyTextChar">
    <w:name w:val="Body Text Char"/>
    <w:basedOn w:val="DefaultParagraphFont"/>
    <w:link w:val="BodyText"/>
    <w:uiPriority w:val="1"/>
    <w:rsid w:val="002F1F0E"/>
    <w:rPr>
      <w:sz w:val="24"/>
      <w:szCs w:val="24"/>
      <w:lang w:val="en-US" w:eastAsia="en-US" w:bidi="ar-SA"/>
    </w:rPr>
  </w:style>
  <w:style w:type="character" w:customStyle="1" w:styleId="NoblisbodytextChar">
    <w:name w:val="Noblis body text Char"/>
    <w:basedOn w:val="BodyTextChar"/>
    <w:link w:val="Noblisbodytext"/>
    <w:rsid w:val="00D77936"/>
    <w:rPr>
      <w:rFonts w:ascii="Arial" w:hAnsi="Arial"/>
      <w:sz w:val="22"/>
      <w:szCs w:val="24"/>
      <w:lang w:val="en-US" w:eastAsia="en-US" w:bidi="ar-SA"/>
    </w:rPr>
  </w:style>
  <w:style w:type="character" w:customStyle="1" w:styleId="NoblisRunInHeadingChar">
    <w:name w:val="Noblis RunIn Heading Char"/>
    <w:basedOn w:val="NoblisbodytextChar"/>
    <w:link w:val="NoblisRunInHeading"/>
    <w:rsid w:val="007B560B"/>
    <w:rPr>
      <w:rFonts w:ascii="Arial" w:hAnsi="Arial"/>
      <w:b/>
      <w:color w:val="E39407"/>
      <w:sz w:val="22"/>
      <w:szCs w:val="24"/>
      <w:lang w:val="en-US" w:eastAsia="en-US" w:bidi="ar-SA"/>
    </w:rPr>
  </w:style>
  <w:style w:type="paragraph" w:customStyle="1" w:styleId="Bullet1">
    <w:name w:val="Bullet 1"/>
    <w:basedOn w:val="Normal"/>
    <w:semiHidden/>
    <w:rsid w:val="002F1F0E"/>
    <w:pPr>
      <w:numPr>
        <w:numId w:val="14"/>
      </w:numPr>
    </w:pPr>
  </w:style>
  <w:style w:type="table" w:customStyle="1" w:styleId="NoblisTablewSubheading">
    <w:name w:val="Noblis Table w/Subheading"/>
    <w:basedOn w:val="NoblisTablewoSubheadings"/>
    <w:rsid w:val="003E7A67"/>
    <w:tblPr/>
    <w:tblStylePr w:type="firstRow">
      <w:pPr>
        <w:jc w:val="center"/>
      </w:pPr>
      <w:rPr>
        <w:rFonts w:ascii="Arial" w:hAnsi="Arial"/>
        <w:b w:val="0"/>
        <w:i w:val="0"/>
        <w:color w:val="FFFFFF"/>
        <w:sz w:val="24"/>
      </w:rPr>
      <w:tblPr/>
      <w:tcPr>
        <w:tcBorders>
          <w:insideH w:val="nil"/>
          <w:insideV w:val="single" w:sz="4" w:space="0" w:color="FFFFFF"/>
        </w:tcBorders>
        <w:shd w:val="clear" w:color="auto" w:fill="42637A"/>
        <w:vAlign w:val="center"/>
      </w:tcPr>
    </w:tblStylePr>
    <w:tblStylePr w:type="firstCol">
      <w:pPr>
        <w:jc w:val="left"/>
      </w:pPr>
      <w:rPr>
        <w:rFonts w:ascii="Broadway" w:hAnsi="Broadway"/>
        <w:sz w:val="20"/>
      </w:rPr>
      <w:tblPr/>
      <w:tcPr>
        <w:vAlign w:val="center"/>
      </w:tcPr>
    </w:tblStylePr>
    <w:tblStylePr w:type="lastCol">
      <w:rPr>
        <w:rFonts w:ascii="Broadway" w:hAnsi="Broadway"/>
        <w:sz w:val="20"/>
      </w:rPr>
    </w:tblStylePr>
    <w:tblStylePr w:type="band1Vert">
      <w:rPr>
        <w:rFonts w:ascii="Broadway" w:hAnsi="Broadway"/>
        <w:sz w:val="20"/>
      </w:rPr>
    </w:tblStylePr>
    <w:tblStylePr w:type="band2Vert">
      <w:rPr>
        <w:rFonts w:ascii="Broadway" w:hAnsi="Broadway"/>
        <w:sz w:val="20"/>
      </w:rPr>
    </w:tblStylePr>
    <w:tblStylePr w:type="band1Horz">
      <w:rPr>
        <w:rFonts w:ascii="Broadway" w:hAnsi="Broadway"/>
        <w:sz w:val="20"/>
      </w:rPr>
      <w:tblPr/>
      <w:tcPr>
        <w:shd w:val="clear" w:color="auto" w:fill="FFF5D6"/>
      </w:tcPr>
    </w:tblStylePr>
    <w:tblStylePr w:type="band2Horz">
      <w:rPr>
        <w:rFonts w:ascii="Broadway" w:hAnsi="Broadway"/>
        <w:sz w:val="20"/>
      </w:rPr>
      <w:tblPr/>
      <w:tcPr>
        <w:shd w:val="clear" w:color="auto" w:fill="FFFFFF"/>
      </w:tcPr>
    </w:tblStylePr>
    <w:tblStylePr w:type="neCell">
      <w:rPr>
        <w:rFonts w:ascii="Arial" w:hAnsi="Arial"/>
        <w:sz w:val="24"/>
      </w:rPr>
    </w:tblStylePr>
    <w:tblStylePr w:type="nwCell">
      <w:rPr>
        <w:rFonts w:ascii="Arial" w:hAnsi="Arial"/>
        <w:sz w:val="24"/>
      </w:rPr>
    </w:tblStylePr>
    <w:tblStylePr w:type="seCell">
      <w:rPr>
        <w:rFonts w:ascii="Broadway" w:hAnsi="Broadway"/>
        <w:sz w:val="20"/>
      </w:rPr>
    </w:tblStylePr>
    <w:tblStylePr w:type="swCell">
      <w:rPr>
        <w:rFonts w:ascii="Broadway" w:hAnsi="Broadway"/>
        <w:sz w:val="20"/>
      </w:rPr>
    </w:tblStylePr>
  </w:style>
  <w:style w:type="numbering" w:customStyle="1" w:styleId="PropNumberedList">
    <w:name w:val="Prop Numbered List"/>
    <w:rsid w:val="00532DB7"/>
    <w:pPr>
      <w:numPr>
        <w:numId w:val="19"/>
      </w:numPr>
    </w:pPr>
  </w:style>
  <w:style w:type="paragraph" w:customStyle="1" w:styleId="NoblisCalloutText14pt">
    <w:name w:val="Noblis Callout Text 14pt"/>
    <w:basedOn w:val="Normal"/>
    <w:rsid w:val="000C65C6"/>
    <w:pPr>
      <w:keepLines/>
      <w:suppressLineNumbers/>
      <w:spacing w:before="180" w:after="180" w:line="400" w:lineRule="atLeast"/>
    </w:pPr>
    <w:rPr>
      <w:i/>
      <w:iCs/>
      <w:color w:val="42637A"/>
      <w:spacing w:val="6"/>
      <w:sz w:val="28"/>
      <w:szCs w:val="28"/>
    </w:rPr>
  </w:style>
  <w:style w:type="paragraph" w:customStyle="1" w:styleId="NoblisCalloutBullet">
    <w:name w:val="Noblis Callout Bullet"/>
    <w:basedOn w:val="Noblisbullet1"/>
    <w:rsid w:val="006F370E"/>
    <w:pPr>
      <w:keepLines/>
      <w:suppressLineNumbers/>
      <w:spacing w:line="400" w:lineRule="atLeast"/>
    </w:pPr>
    <w:rPr>
      <w:i/>
      <w:iCs/>
      <w:color w:val="42637A"/>
      <w:spacing w:val="6"/>
    </w:rPr>
  </w:style>
  <w:style w:type="paragraph" w:customStyle="1" w:styleId="NoblisCalloutBulletLast">
    <w:name w:val="Noblis Callout Bullet Last"/>
    <w:basedOn w:val="Noblisbullet1"/>
    <w:rsid w:val="000C65C6"/>
    <w:pPr>
      <w:keepLines/>
      <w:suppressLineNumbers/>
      <w:spacing w:after="120" w:line="400" w:lineRule="atLeast"/>
    </w:pPr>
    <w:rPr>
      <w:i/>
      <w:iCs/>
      <w:color w:val="42637A"/>
      <w:spacing w:val="6"/>
    </w:rPr>
  </w:style>
  <w:style w:type="table" w:customStyle="1" w:styleId="NoblisTablewSideHeadings">
    <w:name w:val="Noblis Table w/Side Headings"/>
    <w:basedOn w:val="TableNormal"/>
    <w:rsid w:val="001A522E"/>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Arial" w:hAnsi="Arial"/>
        <w:color w:val="FFFFFF"/>
        <w:sz w:val="22"/>
      </w:rPr>
      <w:tblPr/>
      <w:tcPr>
        <w:shd w:val="clear" w:color="auto" w:fill="42637A"/>
      </w:tcPr>
    </w:tblStylePr>
    <w:tblStylePr w:type="band1Horz">
      <w:tblPr/>
      <w:tcPr>
        <w:shd w:val="clear" w:color="auto" w:fill="FFFFFF"/>
      </w:tcPr>
    </w:tblStylePr>
    <w:tblStylePr w:type="band2Horz">
      <w:tblPr/>
      <w:tcPr>
        <w:shd w:val="clear" w:color="auto" w:fill="FFF5D6"/>
      </w:tcPr>
    </w:tblStylePr>
  </w:style>
  <w:style w:type="paragraph" w:customStyle="1" w:styleId="NoblisUseandDisclosureText">
    <w:name w:val="Noblis Use and Disclosure Text"/>
    <w:basedOn w:val="Normal"/>
    <w:rsid w:val="00F00E93"/>
    <w:pPr>
      <w:tabs>
        <w:tab w:val="left" w:pos="1440"/>
      </w:tabs>
      <w:spacing w:before="480" w:after="60"/>
      <w:ind w:left="547" w:right="590"/>
      <w:jc w:val="center"/>
    </w:pPr>
    <w:rPr>
      <w:i/>
      <w:color w:val="255976"/>
      <w:sz w:val="18"/>
      <w:szCs w:val="18"/>
    </w:rPr>
  </w:style>
  <w:style w:type="paragraph" w:customStyle="1" w:styleId="PropBackMatterHeader">
    <w:name w:val="Prop Back Matter Header"/>
    <w:basedOn w:val="PropFrontMatterHeader"/>
    <w:next w:val="Normal"/>
    <w:semiHidden/>
    <w:rsid w:val="009B2DFB"/>
  </w:style>
  <w:style w:type="paragraph" w:customStyle="1" w:styleId="propbodytext">
    <w:name w:val="prop body text"/>
    <w:basedOn w:val="BodyText"/>
    <w:semiHidden/>
    <w:rsid w:val="00532DB7"/>
  </w:style>
  <w:style w:type="paragraph" w:customStyle="1" w:styleId="propbullet1">
    <w:name w:val="prop bullet 1"/>
    <w:basedOn w:val="Normal"/>
    <w:semiHidden/>
    <w:rsid w:val="00532DB7"/>
    <w:pPr>
      <w:numPr>
        <w:numId w:val="17"/>
      </w:numPr>
      <w:spacing w:after="60"/>
    </w:pPr>
  </w:style>
  <w:style w:type="paragraph" w:customStyle="1" w:styleId="propbullet1last">
    <w:name w:val="prop bullet 1 last"/>
    <w:basedOn w:val="propbullet1"/>
    <w:semiHidden/>
    <w:rsid w:val="00532DB7"/>
    <w:pPr>
      <w:numPr>
        <w:numId w:val="0"/>
      </w:numPr>
      <w:spacing w:after="120"/>
    </w:pPr>
  </w:style>
  <w:style w:type="paragraph" w:customStyle="1" w:styleId="propbullet2">
    <w:name w:val="prop bullet 2"/>
    <w:basedOn w:val="Normal"/>
    <w:semiHidden/>
    <w:rsid w:val="00532DB7"/>
    <w:pPr>
      <w:numPr>
        <w:ilvl w:val="1"/>
        <w:numId w:val="17"/>
      </w:numPr>
      <w:tabs>
        <w:tab w:val="left" w:pos="720"/>
      </w:tabs>
      <w:spacing w:after="40"/>
    </w:pPr>
  </w:style>
  <w:style w:type="paragraph" w:customStyle="1" w:styleId="propbullet2last">
    <w:name w:val="prop bullet 2 last"/>
    <w:basedOn w:val="propbullet2"/>
    <w:semiHidden/>
    <w:rsid w:val="00532DB7"/>
    <w:pPr>
      <w:numPr>
        <w:ilvl w:val="0"/>
        <w:numId w:val="0"/>
      </w:numPr>
      <w:spacing w:after="120"/>
    </w:pPr>
  </w:style>
  <w:style w:type="paragraph" w:customStyle="1" w:styleId="propbullet3">
    <w:name w:val="prop bullet 3"/>
    <w:basedOn w:val="Normal"/>
    <w:semiHidden/>
    <w:rsid w:val="00532DB7"/>
    <w:pPr>
      <w:numPr>
        <w:ilvl w:val="2"/>
        <w:numId w:val="17"/>
      </w:numPr>
      <w:tabs>
        <w:tab w:val="left" w:pos="1080"/>
      </w:tabs>
    </w:pPr>
  </w:style>
  <w:style w:type="paragraph" w:customStyle="1" w:styleId="propbullet3last">
    <w:name w:val="prop bullet 3 last"/>
    <w:basedOn w:val="propbullet3"/>
    <w:semiHidden/>
    <w:rsid w:val="00532DB7"/>
    <w:pPr>
      <w:numPr>
        <w:ilvl w:val="0"/>
        <w:numId w:val="0"/>
      </w:numPr>
      <w:spacing w:after="80"/>
    </w:pPr>
  </w:style>
  <w:style w:type="paragraph" w:customStyle="1" w:styleId="PropCalloutBullet">
    <w:name w:val="Prop Callout Bullet"/>
    <w:basedOn w:val="propbullet1"/>
    <w:semiHidden/>
    <w:rsid w:val="00532DB7"/>
    <w:pPr>
      <w:keepLines/>
      <w:numPr>
        <w:numId w:val="0"/>
      </w:numPr>
      <w:suppressLineNumbers/>
      <w:spacing w:line="400" w:lineRule="atLeast"/>
    </w:pPr>
    <w:rPr>
      <w:i/>
      <w:iCs/>
      <w:color w:val="42637A"/>
      <w:spacing w:val="6"/>
    </w:rPr>
  </w:style>
  <w:style w:type="paragraph" w:customStyle="1" w:styleId="PropCalloutBulletLast">
    <w:name w:val="Prop Callout Bullet Last"/>
    <w:basedOn w:val="propbullet1"/>
    <w:semiHidden/>
    <w:rsid w:val="00532DB7"/>
    <w:pPr>
      <w:keepLines/>
      <w:numPr>
        <w:numId w:val="0"/>
      </w:numPr>
      <w:suppressLineNumbers/>
      <w:spacing w:after="120" w:line="400" w:lineRule="atLeast"/>
    </w:pPr>
    <w:rPr>
      <w:i/>
      <w:iCs/>
      <w:color w:val="42637A"/>
      <w:spacing w:val="6"/>
    </w:rPr>
  </w:style>
  <w:style w:type="paragraph" w:customStyle="1" w:styleId="PropCalloutText14pt">
    <w:name w:val="Prop Callout Text 14pt"/>
    <w:basedOn w:val="Normal"/>
    <w:semiHidden/>
    <w:rsid w:val="00532DB7"/>
    <w:pPr>
      <w:keepLines/>
      <w:suppressLineNumbers/>
      <w:spacing w:before="180" w:after="180" w:line="400" w:lineRule="atLeast"/>
    </w:pPr>
    <w:rPr>
      <w:i/>
      <w:iCs/>
      <w:color w:val="42637A"/>
      <w:spacing w:val="6"/>
      <w:sz w:val="28"/>
      <w:szCs w:val="28"/>
    </w:rPr>
  </w:style>
  <w:style w:type="paragraph" w:customStyle="1" w:styleId="PropCoverAddressText">
    <w:name w:val="Prop Cover Address Text"/>
    <w:semiHidden/>
    <w:rsid w:val="00532DB7"/>
    <w:pPr>
      <w:spacing w:before="40" w:after="40"/>
      <w:jc w:val="right"/>
    </w:pPr>
    <w:rPr>
      <w:rFonts w:ascii="Arial" w:hAnsi="Arial" w:cs="Arial"/>
      <w:color w:val="42637A"/>
    </w:rPr>
  </w:style>
  <w:style w:type="paragraph" w:customStyle="1" w:styleId="PropExSumHeading2">
    <w:name w:val="Prop ExSum Heading 2"/>
    <w:next w:val="propbodytext"/>
    <w:semiHidden/>
    <w:rsid w:val="00532DB7"/>
    <w:pPr>
      <w:spacing w:before="120" w:after="30"/>
    </w:pPr>
    <w:rPr>
      <w:rFonts w:ascii="Arial" w:hAnsi="Arial"/>
      <w:b/>
      <w:color w:val="42637A"/>
      <w:sz w:val="28"/>
      <w:szCs w:val="28"/>
    </w:rPr>
  </w:style>
  <w:style w:type="paragraph" w:customStyle="1" w:styleId="PropHeading3">
    <w:name w:val="Prop Heading 3"/>
    <w:basedOn w:val="Normal"/>
    <w:next w:val="propbodytext"/>
    <w:semiHidden/>
    <w:rsid w:val="00532DB7"/>
    <w:pPr>
      <w:spacing w:before="120" w:after="30"/>
    </w:pPr>
    <w:rPr>
      <w:rFonts w:ascii="Arial Bold" w:hAnsi="Arial Bold"/>
      <w:b/>
      <w:color w:val="42637A"/>
      <w:sz w:val="26"/>
    </w:rPr>
  </w:style>
  <w:style w:type="paragraph" w:customStyle="1" w:styleId="PropExSummHeading3">
    <w:name w:val="Prop ExSumm Heading 3"/>
    <w:basedOn w:val="PropHeading3"/>
    <w:next w:val="propbodytext"/>
    <w:semiHidden/>
    <w:rsid w:val="00532DB7"/>
  </w:style>
  <w:style w:type="paragraph" w:customStyle="1" w:styleId="PropFigureInsertIndicator">
    <w:name w:val="Prop Figure Insert Indicator"/>
    <w:basedOn w:val="PropActionCaption"/>
    <w:semiHidden/>
    <w:rsid w:val="00532DB7"/>
  </w:style>
  <w:style w:type="table" w:customStyle="1" w:styleId="NoblisFigurePlaceholder">
    <w:name w:val="Noblis Figure Placeholder"/>
    <w:basedOn w:val="TableNormal"/>
    <w:rsid w:val="00532DB7"/>
    <w:rPr>
      <w:sz w:val="24"/>
    </w:rPr>
    <w:tblPr/>
  </w:style>
  <w:style w:type="paragraph" w:customStyle="1" w:styleId="PropHeading1">
    <w:name w:val="Prop Heading 1"/>
    <w:next w:val="propbodytext"/>
    <w:semiHidden/>
    <w:rsid w:val="00532DB7"/>
    <w:pPr>
      <w:keepNext/>
      <w:spacing w:before="240" w:after="40"/>
    </w:pPr>
    <w:rPr>
      <w:rFonts w:ascii="Arial" w:hAnsi="Arial" w:cs="Arial"/>
      <w:b/>
      <w:bCs/>
      <w:color w:val="42637A"/>
      <w:sz w:val="32"/>
      <w:szCs w:val="24"/>
    </w:rPr>
  </w:style>
  <w:style w:type="paragraph" w:customStyle="1" w:styleId="PropHeading2">
    <w:name w:val="Prop Heading 2"/>
    <w:basedOn w:val="Normal"/>
    <w:next w:val="propbodytext"/>
    <w:semiHidden/>
    <w:rsid w:val="00532DB7"/>
    <w:pPr>
      <w:keepNext/>
      <w:spacing w:before="180" w:after="30"/>
    </w:pPr>
    <w:rPr>
      <w:b/>
      <w:color w:val="42637A"/>
      <w:sz w:val="28"/>
    </w:rPr>
  </w:style>
  <w:style w:type="paragraph" w:customStyle="1" w:styleId="PropHeading4">
    <w:name w:val="Prop Heading 4"/>
    <w:basedOn w:val="Normal"/>
    <w:next w:val="propbodytext"/>
    <w:semiHidden/>
    <w:rsid w:val="00532DB7"/>
    <w:pPr>
      <w:spacing w:before="60" w:after="30"/>
    </w:pPr>
    <w:rPr>
      <w:b/>
      <w:bCs/>
      <w:color w:val="42637A"/>
    </w:rPr>
  </w:style>
  <w:style w:type="paragraph" w:customStyle="1" w:styleId="PropHeading5">
    <w:name w:val="Prop Heading 5"/>
    <w:basedOn w:val="Normal"/>
    <w:next w:val="propbodytext"/>
    <w:semiHidden/>
    <w:rsid w:val="00532DB7"/>
    <w:pPr>
      <w:spacing w:before="60" w:after="20"/>
    </w:pPr>
    <w:rPr>
      <w:rFonts w:ascii="Arial Bold" w:hAnsi="Arial Bold"/>
      <w:b/>
      <w:color w:val="42637A"/>
    </w:rPr>
  </w:style>
  <w:style w:type="paragraph" w:customStyle="1" w:styleId="PropNumberedList1">
    <w:name w:val="Prop Numbered List 1"/>
    <w:basedOn w:val="propbodytext"/>
    <w:semiHidden/>
    <w:rsid w:val="00532DB7"/>
    <w:pPr>
      <w:numPr>
        <w:numId w:val="20"/>
      </w:numPr>
    </w:pPr>
  </w:style>
  <w:style w:type="paragraph" w:customStyle="1" w:styleId="PropNumberedList1Last">
    <w:name w:val="Prop Numbered List 1 Last"/>
    <w:basedOn w:val="PropNumberedList1"/>
    <w:semiHidden/>
    <w:rsid w:val="00532DB7"/>
    <w:pPr>
      <w:numPr>
        <w:numId w:val="0"/>
      </w:numPr>
    </w:pPr>
  </w:style>
  <w:style w:type="paragraph" w:customStyle="1" w:styleId="PropNumberedList2">
    <w:name w:val="Prop Numbered List 2"/>
    <w:basedOn w:val="propbullet2"/>
    <w:semiHidden/>
    <w:rsid w:val="00532DB7"/>
    <w:pPr>
      <w:numPr>
        <w:ilvl w:val="0"/>
        <w:numId w:val="0"/>
      </w:numPr>
    </w:pPr>
  </w:style>
  <w:style w:type="paragraph" w:customStyle="1" w:styleId="PropNumberedList2Last">
    <w:name w:val="Prop Numbered List 2 Last"/>
    <w:basedOn w:val="PropNumberedList1"/>
    <w:semiHidden/>
    <w:rsid w:val="00532DB7"/>
    <w:pPr>
      <w:numPr>
        <w:ilvl w:val="1"/>
      </w:numPr>
    </w:pPr>
  </w:style>
  <w:style w:type="paragraph" w:customStyle="1" w:styleId="PropNumberedList3">
    <w:name w:val="Prop Numbered List 3"/>
    <w:basedOn w:val="PropNumberedList2Last"/>
    <w:semiHidden/>
    <w:rsid w:val="00532DB7"/>
    <w:pPr>
      <w:numPr>
        <w:ilvl w:val="2"/>
      </w:numPr>
    </w:pPr>
  </w:style>
  <w:style w:type="paragraph" w:customStyle="1" w:styleId="PropNumberedList3Last">
    <w:name w:val="Prop Numbered List 3 Last"/>
    <w:basedOn w:val="PropNumberedList3"/>
    <w:semiHidden/>
    <w:rsid w:val="00532DB7"/>
    <w:pPr>
      <w:numPr>
        <w:ilvl w:val="0"/>
        <w:numId w:val="0"/>
      </w:numPr>
      <w:spacing w:after="80"/>
    </w:pPr>
  </w:style>
  <w:style w:type="paragraph" w:customStyle="1" w:styleId="PropRunInHeading">
    <w:name w:val="Prop RunIn Heading"/>
    <w:basedOn w:val="propbodytext"/>
    <w:semiHidden/>
    <w:rsid w:val="00532DB7"/>
    <w:rPr>
      <w:rFonts w:ascii="Times New Roman Bold" w:hAnsi="Times New Roman Bold"/>
      <w:b/>
      <w:color w:val="E39407"/>
    </w:rPr>
  </w:style>
  <w:style w:type="paragraph" w:customStyle="1" w:styleId="PropSpaceStyle">
    <w:name w:val="Prop Space Style"/>
    <w:basedOn w:val="BodyText"/>
    <w:semiHidden/>
    <w:rsid w:val="00532DB7"/>
    <w:rPr>
      <w:sz w:val="16"/>
      <w:szCs w:val="16"/>
    </w:rPr>
  </w:style>
  <w:style w:type="paragraph" w:customStyle="1" w:styleId="Proptablebullet1">
    <w:name w:val="Prop table bullet 1"/>
    <w:autoRedefine/>
    <w:semiHidden/>
    <w:rsid w:val="00532DB7"/>
    <w:pPr>
      <w:numPr>
        <w:numId w:val="21"/>
      </w:numPr>
      <w:spacing w:after="60"/>
    </w:pPr>
    <w:rPr>
      <w:rFonts w:ascii="Arial Narrow" w:hAnsi="Arial Narrow" w:cs="Arial Narrow"/>
      <w:bCs/>
    </w:rPr>
  </w:style>
  <w:style w:type="paragraph" w:customStyle="1" w:styleId="Proptablebullet1last">
    <w:name w:val="Prop table bullet 1 last"/>
    <w:basedOn w:val="Proptablebullet1"/>
    <w:semiHidden/>
    <w:rsid w:val="00532DB7"/>
    <w:pPr>
      <w:numPr>
        <w:numId w:val="0"/>
      </w:numPr>
      <w:spacing w:after="120"/>
    </w:pPr>
  </w:style>
  <w:style w:type="paragraph" w:customStyle="1" w:styleId="PropTableCaption">
    <w:name w:val="Prop Table Caption"/>
    <w:basedOn w:val="Caption"/>
    <w:next w:val="Normal"/>
    <w:semiHidden/>
    <w:rsid w:val="00532DB7"/>
    <w:pPr>
      <w:keepNext/>
      <w:spacing w:before="120" w:after="120"/>
      <w:jc w:val="center"/>
    </w:pPr>
    <w:rPr>
      <w:color w:val="42637A"/>
    </w:rPr>
  </w:style>
  <w:style w:type="paragraph" w:customStyle="1" w:styleId="PropTableHeading">
    <w:name w:val="Prop Table Heading"/>
    <w:next w:val="Normal"/>
    <w:semiHidden/>
    <w:rsid w:val="00532DB7"/>
    <w:pPr>
      <w:jc w:val="center"/>
    </w:pPr>
    <w:rPr>
      <w:rFonts w:ascii="Arial" w:hAnsi="Arial" w:cs="Arial Narrow"/>
      <w:b/>
      <w:color w:val="FFFFFF"/>
      <w:sz w:val="24"/>
      <w:szCs w:val="18"/>
    </w:rPr>
  </w:style>
  <w:style w:type="paragraph" w:customStyle="1" w:styleId="PropTableText">
    <w:name w:val="Prop Table Text"/>
    <w:basedOn w:val="BodyText"/>
    <w:semiHidden/>
    <w:rsid w:val="00532DB7"/>
    <w:pPr>
      <w:spacing w:before="20" w:after="20"/>
    </w:pPr>
    <w:rPr>
      <w:rFonts w:ascii="Arial Narrow" w:hAnsi="Arial Narrow" w:cs="Arial Narrow"/>
      <w:sz w:val="20"/>
      <w:szCs w:val="18"/>
    </w:rPr>
  </w:style>
  <w:style w:type="paragraph" w:customStyle="1" w:styleId="PropTablePlaceholder">
    <w:name w:val="Prop Table Placeholder"/>
    <w:basedOn w:val="PropTableText"/>
    <w:semiHidden/>
    <w:rsid w:val="00532DB7"/>
    <w:pPr>
      <w:spacing w:after="0"/>
    </w:pPr>
    <w:rPr>
      <w:szCs w:val="20"/>
    </w:rPr>
  </w:style>
  <w:style w:type="paragraph" w:customStyle="1" w:styleId="PropTableSubheading">
    <w:name w:val="Prop Table Subheading"/>
    <w:basedOn w:val="PropTableText"/>
    <w:semiHidden/>
    <w:rsid w:val="00532DB7"/>
    <w:pPr>
      <w:shd w:val="clear" w:color="auto" w:fill="DADC82"/>
      <w:spacing w:before="0" w:after="0"/>
      <w:ind w:left="-86" w:right="-86" w:firstLine="72"/>
    </w:pPr>
    <w:rPr>
      <w:b/>
      <w:color w:val="334D5F"/>
    </w:rPr>
  </w:style>
  <w:style w:type="paragraph" w:customStyle="1" w:styleId="PropTitlePageTextLevel1">
    <w:name w:val="Prop Title Page Text Level 1"/>
    <w:basedOn w:val="Normal"/>
    <w:semiHidden/>
    <w:rsid w:val="00532DB7"/>
    <w:rPr>
      <w:b/>
      <w:bCs/>
      <w:color w:val="42637A"/>
      <w:sz w:val="40"/>
      <w:szCs w:val="40"/>
    </w:rPr>
  </w:style>
  <w:style w:type="paragraph" w:customStyle="1" w:styleId="PropTOCHeading">
    <w:name w:val="Prop TOC Heading"/>
    <w:basedOn w:val="PropFrontMatterHeader"/>
    <w:next w:val="BodyText"/>
    <w:semiHidden/>
    <w:rsid w:val="009B2DFB"/>
    <w:pPr>
      <w:pBdr>
        <w:bottom w:val="single" w:sz="4" w:space="1" w:color="B2C30D"/>
      </w:pBdr>
      <w:spacing w:before="480" w:after="240"/>
    </w:pPr>
  </w:style>
  <w:style w:type="paragraph" w:customStyle="1" w:styleId="PropTOCTableofFigures">
    <w:name w:val="Prop TOC Table of Figures"/>
    <w:basedOn w:val="TableofFigures"/>
    <w:semiHidden/>
    <w:rsid w:val="00532DB7"/>
    <w:rPr>
      <w:noProof/>
    </w:rPr>
  </w:style>
  <w:style w:type="paragraph" w:customStyle="1" w:styleId="PropUseandDisclosureText">
    <w:name w:val="Prop Use and Disclosure Text"/>
    <w:basedOn w:val="Normal"/>
    <w:semiHidden/>
    <w:rsid w:val="00532DB7"/>
    <w:pPr>
      <w:tabs>
        <w:tab w:val="left" w:pos="1440"/>
      </w:tabs>
      <w:spacing w:before="480" w:after="60"/>
      <w:ind w:left="547" w:right="590"/>
      <w:jc w:val="center"/>
    </w:pPr>
    <w:rPr>
      <w:i/>
      <w:color w:val="255976"/>
      <w:sz w:val="18"/>
      <w:szCs w:val="18"/>
    </w:rPr>
  </w:style>
  <w:style w:type="paragraph" w:customStyle="1" w:styleId="NoblisAppendixLevel2">
    <w:name w:val="Noblis Appendix Level 2"/>
    <w:next w:val="Noblisbodytext"/>
    <w:rsid w:val="009B2DFB"/>
    <w:pPr>
      <w:keepNext/>
      <w:numPr>
        <w:numId w:val="74"/>
      </w:numPr>
      <w:spacing w:before="180" w:after="30"/>
    </w:pPr>
    <w:rPr>
      <w:rFonts w:ascii="Arial" w:hAnsi="Arial"/>
      <w:b/>
      <w:color w:val="1F497D" w:themeColor="text2"/>
      <w:sz w:val="28"/>
      <w:szCs w:val="32"/>
    </w:rPr>
  </w:style>
  <w:style w:type="paragraph" w:customStyle="1" w:styleId="NoblisNumberedList1">
    <w:name w:val="Noblis Numbered List 1"/>
    <w:basedOn w:val="Normal"/>
    <w:rsid w:val="00D70695"/>
    <w:pPr>
      <w:numPr>
        <w:numId w:val="26"/>
      </w:numPr>
      <w:spacing w:after="120"/>
    </w:pPr>
  </w:style>
  <w:style w:type="paragraph" w:customStyle="1" w:styleId="NoblisNumberedList1Last">
    <w:name w:val="Noblis Numbered List 1 Last"/>
    <w:basedOn w:val="NoblisNumberedList1"/>
    <w:rsid w:val="002B5E3F"/>
    <w:pPr>
      <w:tabs>
        <w:tab w:val="left" w:pos="360"/>
      </w:tabs>
    </w:pPr>
  </w:style>
  <w:style w:type="paragraph" w:customStyle="1" w:styleId="NoblisNumberedList2">
    <w:name w:val="Noblis Numbered List 2"/>
    <w:basedOn w:val="Normal"/>
    <w:rsid w:val="00D70695"/>
    <w:pPr>
      <w:numPr>
        <w:ilvl w:val="1"/>
        <w:numId w:val="26"/>
      </w:numPr>
      <w:tabs>
        <w:tab w:val="left" w:pos="720"/>
      </w:tabs>
      <w:spacing w:after="40"/>
    </w:pPr>
  </w:style>
  <w:style w:type="paragraph" w:customStyle="1" w:styleId="NoblisNumberedList2Last">
    <w:name w:val="Noblis Numbered List 2 Last"/>
    <w:basedOn w:val="NoblisNumberedList2"/>
    <w:rsid w:val="00205C4E"/>
    <w:pPr>
      <w:numPr>
        <w:ilvl w:val="0"/>
        <w:numId w:val="0"/>
      </w:numPr>
      <w:spacing w:after="80"/>
    </w:pPr>
  </w:style>
  <w:style w:type="paragraph" w:customStyle="1" w:styleId="NoblisNumberedList3">
    <w:name w:val="Noblis Numbered List 3"/>
    <w:basedOn w:val="NoblisNumberedList2Last"/>
    <w:rsid w:val="00D70695"/>
    <w:pPr>
      <w:numPr>
        <w:ilvl w:val="2"/>
        <w:numId w:val="26"/>
      </w:numPr>
    </w:pPr>
  </w:style>
  <w:style w:type="paragraph" w:customStyle="1" w:styleId="NoblisNumberedList3Last">
    <w:name w:val="Noblis Numbered List 3 Last"/>
    <w:basedOn w:val="NoblisNumberedList3"/>
    <w:rsid w:val="00205C4E"/>
    <w:pPr>
      <w:spacing w:after="40"/>
    </w:pPr>
  </w:style>
  <w:style w:type="paragraph" w:customStyle="1" w:styleId="NoblisTOCTableofFigures">
    <w:name w:val="Noblis TOC Table of Figures"/>
    <w:basedOn w:val="TableofFigures"/>
    <w:rsid w:val="00D70695"/>
    <w:rPr>
      <w:noProof/>
    </w:rPr>
  </w:style>
  <w:style w:type="paragraph" w:customStyle="1" w:styleId="NoblisAppendixLevel3">
    <w:name w:val="Noblis Appendix Level 3"/>
    <w:next w:val="Noblisbodytext"/>
    <w:rsid w:val="009B2DFB"/>
    <w:pPr>
      <w:keepNext/>
      <w:numPr>
        <w:numId w:val="75"/>
      </w:numPr>
      <w:spacing w:before="120" w:after="30"/>
    </w:pPr>
    <w:rPr>
      <w:rFonts w:ascii="Arial Bold" w:hAnsi="Arial Bold"/>
      <w:b/>
      <w:color w:val="42637A"/>
      <w:sz w:val="26"/>
      <w:szCs w:val="32"/>
    </w:rPr>
  </w:style>
  <w:style w:type="paragraph" w:customStyle="1" w:styleId="NoblisAppendixLevel4">
    <w:name w:val="Noblis Appendix Level 4"/>
    <w:next w:val="Noblisbodytext"/>
    <w:rsid w:val="00031B89"/>
    <w:pPr>
      <w:keepNext/>
      <w:numPr>
        <w:ilvl w:val="7"/>
        <w:numId w:val="18"/>
      </w:numPr>
      <w:spacing w:before="60" w:after="30"/>
    </w:pPr>
    <w:rPr>
      <w:rFonts w:ascii="Arial" w:hAnsi="Arial"/>
      <w:b/>
      <w:color w:val="42637A"/>
      <w:sz w:val="24"/>
      <w:szCs w:val="24"/>
    </w:rPr>
  </w:style>
  <w:style w:type="paragraph" w:customStyle="1" w:styleId="NoblisNTREntry">
    <w:name w:val="Noblis NTR Entry"/>
    <w:basedOn w:val="NoblisTableofContentsHeading"/>
    <w:rsid w:val="009B2DFB"/>
    <w:rPr>
      <w:sz w:val="24"/>
      <w:szCs w:val="24"/>
    </w:rPr>
  </w:style>
  <w:style w:type="paragraph" w:styleId="BalloonText">
    <w:name w:val="Balloon Text"/>
    <w:basedOn w:val="Normal"/>
    <w:link w:val="BalloonTextChar"/>
    <w:uiPriority w:val="99"/>
    <w:semiHidden/>
    <w:locked/>
    <w:rsid w:val="00427D51"/>
    <w:rPr>
      <w:rFonts w:ascii="Tahoma" w:hAnsi="Tahoma" w:cs="Tahoma"/>
      <w:sz w:val="16"/>
      <w:szCs w:val="16"/>
    </w:rPr>
  </w:style>
  <w:style w:type="character" w:customStyle="1" w:styleId="BalloonTextChar">
    <w:name w:val="Balloon Text Char"/>
    <w:basedOn w:val="DefaultParagraphFont"/>
    <w:link w:val="BalloonText"/>
    <w:uiPriority w:val="99"/>
    <w:semiHidden/>
    <w:rsid w:val="00427D51"/>
    <w:rPr>
      <w:rFonts w:ascii="Tahoma" w:hAnsi="Tahoma" w:cs="Tahoma"/>
      <w:sz w:val="16"/>
      <w:szCs w:val="16"/>
    </w:rPr>
  </w:style>
  <w:style w:type="paragraph" w:styleId="ListParagraph">
    <w:name w:val="List Paragraph"/>
    <w:aliases w:val="Table List Paragraph"/>
    <w:basedOn w:val="Normal"/>
    <w:link w:val="ListParagraphChar"/>
    <w:uiPriority w:val="34"/>
    <w:qFormat/>
    <w:rsid w:val="007C4363"/>
    <w:pPr>
      <w:ind w:left="720"/>
      <w:contextualSpacing/>
    </w:pPr>
  </w:style>
  <w:style w:type="character" w:customStyle="1" w:styleId="FootnoteTextChar">
    <w:name w:val="Footnote Text Char"/>
    <w:basedOn w:val="DefaultParagraphFont"/>
    <w:link w:val="FootnoteText"/>
    <w:semiHidden/>
    <w:rsid w:val="00427D51"/>
    <w:rPr>
      <w:rFonts w:ascii="Times" w:hAnsi="Times"/>
      <w:sz w:val="24"/>
    </w:rPr>
  </w:style>
  <w:style w:type="paragraph" w:customStyle="1" w:styleId="Noblistablebullet2">
    <w:name w:val="Noblis table bullet 2"/>
    <w:basedOn w:val="NoblisTableText"/>
    <w:qFormat/>
    <w:rsid w:val="009B2DFB"/>
    <w:pPr>
      <w:numPr>
        <w:numId w:val="25"/>
      </w:numPr>
      <w:spacing w:before="0"/>
      <w:ind w:left="576" w:hanging="288"/>
    </w:pPr>
  </w:style>
  <w:style w:type="character" w:styleId="CommentReference">
    <w:name w:val="annotation reference"/>
    <w:basedOn w:val="DefaultParagraphFont"/>
    <w:semiHidden/>
    <w:locked/>
    <w:rsid w:val="009A1758"/>
    <w:rPr>
      <w:sz w:val="16"/>
      <w:szCs w:val="16"/>
    </w:rPr>
  </w:style>
  <w:style w:type="paragraph" w:styleId="CommentText">
    <w:name w:val="annotation text"/>
    <w:basedOn w:val="Normal"/>
    <w:link w:val="CommentTextChar"/>
    <w:uiPriority w:val="99"/>
    <w:semiHidden/>
    <w:locked/>
    <w:rsid w:val="009A1758"/>
    <w:rPr>
      <w:sz w:val="20"/>
      <w:szCs w:val="20"/>
    </w:rPr>
  </w:style>
  <w:style w:type="character" w:customStyle="1" w:styleId="CommentTextChar">
    <w:name w:val="Comment Text Char"/>
    <w:basedOn w:val="DefaultParagraphFont"/>
    <w:link w:val="CommentText"/>
    <w:uiPriority w:val="99"/>
    <w:semiHidden/>
    <w:rsid w:val="009A1758"/>
  </w:style>
  <w:style w:type="paragraph" w:styleId="CommentSubject">
    <w:name w:val="annotation subject"/>
    <w:basedOn w:val="CommentText"/>
    <w:next w:val="CommentText"/>
    <w:link w:val="CommentSubjectChar"/>
    <w:semiHidden/>
    <w:locked/>
    <w:rsid w:val="009A1758"/>
    <w:rPr>
      <w:b/>
      <w:bCs/>
    </w:rPr>
  </w:style>
  <w:style w:type="character" w:customStyle="1" w:styleId="CommentSubjectChar">
    <w:name w:val="Comment Subject Char"/>
    <w:basedOn w:val="CommentTextChar"/>
    <w:link w:val="CommentSubject"/>
    <w:semiHidden/>
    <w:rsid w:val="009A1758"/>
    <w:rPr>
      <w:b/>
      <w:bCs/>
    </w:rPr>
  </w:style>
  <w:style w:type="paragraph" w:customStyle="1" w:styleId="A">
    <w:name w:val="A"/>
    <w:basedOn w:val="Noblisbodytext"/>
    <w:rsid w:val="00892F78"/>
  </w:style>
  <w:style w:type="paragraph" w:customStyle="1" w:styleId="ReferenceList">
    <w:name w:val="ReferenceList"/>
    <w:rsid w:val="00D83AAE"/>
    <w:pPr>
      <w:spacing w:before="120" w:after="120"/>
    </w:pPr>
    <w:rPr>
      <w:rFonts w:ascii="Arial" w:hAnsi="Arial"/>
      <w:sz w:val="24"/>
    </w:rPr>
  </w:style>
  <w:style w:type="character" w:customStyle="1" w:styleId="apple-converted-space">
    <w:name w:val="apple-converted-space"/>
    <w:basedOn w:val="DefaultParagraphFont"/>
    <w:rsid w:val="00CF385E"/>
  </w:style>
  <w:style w:type="paragraph" w:customStyle="1" w:styleId="DocumentName">
    <w:name w:val="Document Name"/>
    <w:basedOn w:val="Normal"/>
    <w:rsid w:val="001E340C"/>
    <w:pPr>
      <w:spacing w:after="120"/>
      <w:jc w:val="center"/>
    </w:pPr>
    <w:rPr>
      <w:bCs/>
      <w:sz w:val="40"/>
      <w:szCs w:val="20"/>
    </w:rPr>
  </w:style>
  <w:style w:type="paragraph" w:customStyle="1" w:styleId="GSAHeading">
    <w:name w:val="GSA Heading"/>
    <w:basedOn w:val="Normal"/>
    <w:rsid w:val="001E340C"/>
    <w:rPr>
      <w:rFonts w:ascii="Arial Bold" w:hAnsi="Arial Bold"/>
      <w:b/>
      <w:bCs/>
      <w:caps/>
      <w:sz w:val="44"/>
    </w:rPr>
  </w:style>
  <w:style w:type="table" w:customStyle="1" w:styleId="GridTable4-Accent11">
    <w:name w:val="Grid Table 4 - Accent 11"/>
    <w:basedOn w:val="TableNormal"/>
    <w:uiPriority w:val="49"/>
    <w:rsid w:val="00677C3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GSAAddress">
    <w:name w:val="GSA Address"/>
    <w:basedOn w:val="Normal"/>
    <w:autoRedefine/>
    <w:rsid w:val="00751326"/>
    <w:pPr>
      <w:spacing w:after="120"/>
      <w:jc w:val="center"/>
    </w:pPr>
    <w:rPr>
      <w:b/>
      <w:bCs/>
      <w:szCs w:val="20"/>
    </w:rPr>
  </w:style>
  <w:style w:type="character" w:customStyle="1" w:styleId="Heading2Char">
    <w:name w:val="Heading 2 Char"/>
    <w:basedOn w:val="DefaultParagraphFont"/>
    <w:link w:val="Heading2"/>
    <w:rsid w:val="001E6096"/>
    <w:rPr>
      <w:rFonts w:ascii="Arial" w:eastAsiaTheme="majorEastAsia" w:hAnsi="Arial" w:cs="Arial"/>
      <w:b/>
      <w:bCs/>
      <w:i/>
      <w:iCs/>
      <w:sz w:val="28"/>
      <w:szCs w:val="28"/>
    </w:rPr>
  </w:style>
  <w:style w:type="paragraph" w:styleId="EndnoteText">
    <w:name w:val="endnote text"/>
    <w:basedOn w:val="Normal"/>
    <w:link w:val="EndnoteTextChar"/>
    <w:uiPriority w:val="99"/>
    <w:semiHidden/>
    <w:unhideWhenUsed/>
    <w:locked/>
    <w:rsid w:val="007E08EE"/>
    <w:rPr>
      <w:rFonts w:eastAsiaTheme="minorHAnsi"/>
      <w:sz w:val="20"/>
      <w:szCs w:val="20"/>
    </w:rPr>
  </w:style>
  <w:style w:type="character" w:customStyle="1" w:styleId="EndnoteTextChar">
    <w:name w:val="Endnote Text Char"/>
    <w:basedOn w:val="DefaultParagraphFont"/>
    <w:link w:val="EndnoteText"/>
    <w:uiPriority w:val="99"/>
    <w:semiHidden/>
    <w:rsid w:val="007E08EE"/>
    <w:rPr>
      <w:rFonts w:asciiTheme="minorHAnsi" w:eastAsiaTheme="minorHAnsi" w:hAnsiTheme="minorHAnsi" w:cstheme="minorBidi"/>
    </w:rPr>
  </w:style>
  <w:style w:type="character" w:customStyle="1" w:styleId="Heading2Char1">
    <w:name w:val="Heading 2 Char1"/>
    <w:basedOn w:val="DefaultParagraphFont"/>
    <w:rsid w:val="007E08EE"/>
    <w:rPr>
      <w:b/>
      <w:sz w:val="28"/>
    </w:rPr>
  </w:style>
  <w:style w:type="character" w:customStyle="1" w:styleId="PlainTextChar">
    <w:name w:val="Plain Text Char"/>
    <w:basedOn w:val="DefaultParagraphFont"/>
    <w:link w:val="PlainText"/>
    <w:rsid w:val="007E08EE"/>
    <w:rPr>
      <w:rFonts w:ascii="Courier New" w:hAnsi="Courier New" w:cs="Courier New"/>
    </w:rPr>
  </w:style>
  <w:style w:type="character" w:customStyle="1" w:styleId="HeaderChar">
    <w:name w:val="Header Char"/>
    <w:basedOn w:val="DefaultParagraphFont"/>
    <w:link w:val="Header"/>
    <w:uiPriority w:val="99"/>
    <w:rsid w:val="007E08EE"/>
    <w:rPr>
      <w:b/>
      <w:caps/>
      <w:spacing w:val="40"/>
      <w:sz w:val="56"/>
    </w:rPr>
  </w:style>
  <w:style w:type="character" w:customStyle="1" w:styleId="FooterChar">
    <w:name w:val="Footer Char"/>
    <w:basedOn w:val="DefaultParagraphFont"/>
    <w:link w:val="Footer"/>
    <w:uiPriority w:val="99"/>
    <w:rsid w:val="007E08EE"/>
    <w:rPr>
      <w:rFonts w:ascii="Times" w:hAnsi="Times"/>
      <w:sz w:val="24"/>
    </w:rPr>
  </w:style>
  <w:style w:type="character" w:customStyle="1" w:styleId="Heading3Char">
    <w:name w:val="Heading 3 Char"/>
    <w:basedOn w:val="DefaultParagraphFont"/>
    <w:link w:val="Heading3"/>
    <w:rsid w:val="00FD359E"/>
    <w:rPr>
      <w:rFonts w:ascii="Arial" w:eastAsiaTheme="majorEastAsia" w:hAnsi="Arial" w:cstheme="majorBidi"/>
      <w:b/>
      <w:bCs/>
      <w:sz w:val="24"/>
      <w:szCs w:val="26"/>
    </w:rPr>
  </w:style>
  <w:style w:type="character" w:customStyle="1" w:styleId="BodyText2Char">
    <w:name w:val="Body Text 2 Char"/>
    <w:basedOn w:val="DefaultParagraphFont"/>
    <w:link w:val="BodyText2"/>
    <w:rsid w:val="007E08EE"/>
    <w:rPr>
      <w:sz w:val="24"/>
      <w:szCs w:val="24"/>
    </w:rPr>
  </w:style>
  <w:style w:type="paragraph" w:styleId="NoSpacing">
    <w:name w:val="No Spacing"/>
    <w:uiPriority w:val="1"/>
    <w:qFormat/>
    <w:rsid w:val="001E6096"/>
    <w:pPr>
      <w:widowControl w:val="0"/>
      <w:autoSpaceDE w:val="0"/>
      <w:autoSpaceDN w:val="0"/>
      <w:adjustRightInd w:val="0"/>
      <w:jc w:val="both"/>
    </w:pPr>
    <w:rPr>
      <w:rFonts w:ascii="Arial" w:hAnsi="Arial" w:cs="Arial"/>
      <w:sz w:val="24"/>
      <w:szCs w:val="24"/>
    </w:rPr>
  </w:style>
  <w:style w:type="paragraph" w:customStyle="1" w:styleId="TableParagraph">
    <w:name w:val="Table Paragraph"/>
    <w:basedOn w:val="Normal"/>
    <w:uiPriority w:val="1"/>
    <w:rsid w:val="007E08EE"/>
    <w:rPr>
      <w:rFonts w:eastAsiaTheme="minorHAnsi"/>
    </w:rPr>
  </w:style>
  <w:style w:type="character" w:customStyle="1" w:styleId="Heading4Char">
    <w:name w:val="Heading 4 Char"/>
    <w:basedOn w:val="DefaultParagraphFont"/>
    <w:link w:val="Heading4"/>
    <w:rsid w:val="007C4363"/>
    <w:rPr>
      <w:rFonts w:ascii="Arial Bold" w:eastAsiaTheme="majorEastAsia" w:hAnsi="Arial Bold" w:cstheme="majorBidi"/>
      <w:b/>
      <w:i/>
      <w:sz w:val="22"/>
      <w:szCs w:val="24"/>
    </w:rPr>
  </w:style>
  <w:style w:type="character" w:customStyle="1" w:styleId="Heading5Char">
    <w:name w:val="Heading 5 Char"/>
    <w:aliases w:val="Noblis Heading 5 Char"/>
    <w:basedOn w:val="DefaultParagraphFont"/>
    <w:link w:val="Heading5"/>
    <w:rsid w:val="007C4363"/>
    <w:rPr>
      <w:rFonts w:ascii="Arial" w:eastAsiaTheme="majorEastAsia" w:hAnsi="Arial" w:cstheme="majorBidi"/>
      <w:sz w:val="22"/>
      <w:szCs w:val="24"/>
    </w:rPr>
  </w:style>
  <w:style w:type="character" w:customStyle="1" w:styleId="Heading6Char">
    <w:name w:val="Heading 6 Char"/>
    <w:basedOn w:val="DefaultParagraphFont"/>
    <w:link w:val="Heading6"/>
    <w:semiHidden/>
    <w:rsid w:val="001E6096"/>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7C4363"/>
    <w:rPr>
      <w:rFonts w:asciiTheme="minorHAnsi" w:eastAsiaTheme="minorEastAsia" w:hAnsiTheme="minorHAnsi" w:cstheme="minorBidi"/>
      <w:sz w:val="24"/>
      <w:szCs w:val="24"/>
    </w:rPr>
  </w:style>
  <w:style w:type="character" w:customStyle="1" w:styleId="Heading8Char">
    <w:name w:val="Heading 8 Char"/>
    <w:basedOn w:val="DefaultParagraphFont"/>
    <w:link w:val="Heading8"/>
    <w:rsid w:val="001E6096"/>
    <w:rPr>
      <w:rFonts w:eastAsiaTheme="majorEastAsia" w:cs="Arial"/>
      <w:i/>
      <w:iCs/>
      <w:sz w:val="24"/>
      <w:szCs w:val="24"/>
    </w:rPr>
  </w:style>
  <w:style w:type="character" w:customStyle="1" w:styleId="Heading9Char">
    <w:name w:val="Heading 9 Char"/>
    <w:basedOn w:val="DefaultParagraphFont"/>
    <w:link w:val="Heading9"/>
    <w:rsid w:val="001E6096"/>
    <w:rPr>
      <w:rFonts w:ascii="Arial" w:eastAsiaTheme="majorEastAsia" w:hAnsi="Arial" w:cs="Arial"/>
      <w:sz w:val="22"/>
      <w:szCs w:val="22"/>
    </w:rPr>
  </w:style>
  <w:style w:type="character" w:customStyle="1" w:styleId="TitleChar">
    <w:name w:val="Title Char"/>
    <w:basedOn w:val="DefaultParagraphFont"/>
    <w:link w:val="Title"/>
    <w:rsid w:val="001E6096"/>
    <w:rPr>
      <w:rFonts w:ascii="Arial" w:eastAsiaTheme="majorEastAsia" w:hAnsi="Arial" w:cs="Arial"/>
      <w:b/>
      <w:kern w:val="28"/>
      <w:sz w:val="32"/>
    </w:rPr>
  </w:style>
  <w:style w:type="character" w:customStyle="1" w:styleId="SubtitleChar">
    <w:name w:val="Subtitle Char"/>
    <w:basedOn w:val="DefaultParagraphFont"/>
    <w:link w:val="Subtitle0"/>
    <w:rsid w:val="001E6096"/>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1E6096"/>
    <w:rPr>
      <w:i/>
      <w:iCs/>
      <w:color w:val="000000" w:themeColor="text1"/>
    </w:rPr>
  </w:style>
  <w:style w:type="character" w:customStyle="1" w:styleId="QuoteChar">
    <w:name w:val="Quote Char"/>
    <w:basedOn w:val="DefaultParagraphFont"/>
    <w:link w:val="Quote"/>
    <w:uiPriority w:val="29"/>
    <w:rsid w:val="001E6096"/>
    <w:rPr>
      <w:rFonts w:ascii="Arial" w:hAnsi="Arial" w:cs="Arial"/>
      <w:i/>
      <w:iCs/>
      <w:color w:val="000000" w:themeColor="text1"/>
      <w:sz w:val="24"/>
      <w:szCs w:val="24"/>
    </w:rPr>
  </w:style>
  <w:style w:type="paragraph" w:styleId="IntenseQuote">
    <w:name w:val="Intense Quote"/>
    <w:basedOn w:val="Normal"/>
    <w:next w:val="Normal"/>
    <w:link w:val="IntenseQuoteChar"/>
    <w:uiPriority w:val="30"/>
    <w:qFormat/>
    <w:rsid w:val="001E6096"/>
    <w:pPr>
      <w:pBdr>
        <w:bottom w:val="single" w:sz="4" w:space="4" w:color="4F81BD" w:themeColor="accent1"/>
      </w:pBdr>
      <w:spacing w:before="200" w:after="280"/>
      <w:ind w:left="936" w:right="936"/>
    </w:pPr>
    <w:rPr>
      <w:rFonts w:eastAsiaTheme="majorEastAsia"/>
      <w:b/>
      <w:bCs/>
      <w:i/>
      <w:iCs/>
      <w:color w:val="4F81BD" w:themeColor="accent1"/>
    </w:rPr>
  </w:style>
  <w:style w:type="character" w:customStyle="1" w:styleId="IntenseQuoteChar">
    <w:name w:val="Intense Quote Char"/>
    <w:basedOn w:val="DefaultParagraphFont"/>
    <w:link w:val="IntenseQuote"/>
    <w:uiPriority w:val="30"/>
    <w:rsid w:val="001E6096"/>
    <w:rPr>
      <w:rFonts w:ascii="Arial" w:eastAsiaTheme="majorEastAsia" w:hAnsi="Arial" w:cs="Arial"/>
      <w:b/>
      <w:bCs/>
      <w:i/>
      <w:iCs/>
      <w:color w:val="4F81BD" w:themeColor="accent1"/>
      <w:sz w:val="24"/>
      <w:szCs w:val="24"/>
    </w:rPr>
  </w:style>
  <w:style w:type="character" w:styleId="SubtleEmphasis">
    <w:name w:val="Subtle Emphasis"/>
    <w:basedOn w:val="DefaultParagraphFont"/>
    <w:uiPriority w:val="19"/>
    <w:qFormat/>
    <w:locked/>
    <w:rsid w:val="007C4363"/>
    <w:rPr>
      <w:i/>
      <w:iCs/>
      <w:color w:val="808080" w:themeColor="text1" w:themeTint="7F"/>
    </w:rPr>
  </w:style>
  <w:style w:type="character" w:styleId="IntenseEmphasis">
    <w:name w:val="Intense Emphasis"/>
    <w:basedOn w:val="DefaultParagraphFont"/>
    <w:uiPriority w:val="21"/>
    <w:qFormat/>
    <w:rsid w:val="001E6096"/>
    <w:rPr>
      <w:b/>
      <w:bCs/>
      <w:i/>
      <w:iCs/>
      <w:color w:val="4F81BD" w:themeColor="accent1"/>
    </w:rPr>
  </w:style>
  <w:style w:type="character" w:styleId="SubtleReference">
    <w:name w:val="Subtle Reference"/>
    <w:basedOn w:val="DefaultParagraphFont"/>
    <w:uiPriority w:val="31"/>
    <w:qFormat/>
    <w:rsid w:val="001E6096"/>
    <w:rPr>
      <w:smallCaps/>
      <w:color w:val="C0504D" w:themeColor="accent2"/>
      <w:u w:val="single"/>
    </w:rPr>
  </w:style>
  <w:style w:type="character" w:styleId="IntenseReference">
    <w:name w:val="Intense Reference"/>
    <w:basedOn w:val="DefaultParagraphFont"/>
    <w:uiPriority w:val="32"/>
    <w:qFormat/>
    <w:rsid w:val="001E6096"/>
    <w:rPr>
      <w:b/>
      <w:bCs/>
      <w:smallCaps/>
      <w:color w:val="C0504D" w:themeColor="accent2"/>
      <w:spacing w:val="5"/>
      <w:u w:val="single"/>
    </w:rPr>
  </w:style>
  <w:style w:type="character" w:styleId="BookTitle">
    <w:name w:val="Book Title"/>
    <w:basedOn w:val="DefaultParagraphFont"/>
    <w:uiPriority w:val="33"/>
    <w:qFormat/>
    <w:locked/>
    <w:rsid w:val="007C4363"/>
    <w:rPr>
      <w:b/>
      <w:bCs/>
      <w:smallCaps/>
      <w:spacing w:val="5"/>
    </w:rPr>
  </w:style>
  <w:style w:type="paragraph" w:styleId="TOCHeading">
    <w:name w:val="TOC Heading"/>
    <w:basedOn w:val="Heading1"/>
    <w:next w:val="Normal"/>
    <w:uiPriority w:val="39"/>
    <w:semiHidden/>
    <w:unhideWhenUsed/>
    <w:qFormat/>
    <w:rsid w:val="001E6096"/>
    <w:pPr>
      <w:keepLines/>
      <w:widowControl w:val="0"/>
      <w:autoSpaceDE w:val="0"/>
      <w:autoSpaceDN w:val="0"/>
      <w:adjustRightInd w:val="0"/>
      <w:spacing w:before="480"/>
      <w:outlineLvl w:val="9"/>
    </w:pPr>
    <w:rPr>
      <w:rFonts w:asciiTheme="majorHAnsi" w:hAnsiTheme="majorHAnsi" w:cstheme="majorBidi"/>
      <w:bCs/>
      <w:color w:val="365F91" w:themeColor="accent1" w:themeShade="BF"/>
      <w:szCs w:val="28"/>
    </w:rPr>
  </w:style>
  <w:style w:type="character" w:customStyle="1" w:styleId="ListParagraphChar">
    <w:name w:val="List Paragraph Char"/>
    <w:aliases w:val="Table List Paragraph Char"/>
    <w:basedOn w:val="DefaultParagraphFont"/>
    <w:link w:val="ListParagraph"/>
    <w:uiPriority w:val="34"/>
    <w:rsid w:val="00494672"/>
    <w:rPr>
      <w:rFonts w:ascii="Arial" w:hAnsi="Arial" w:cs="Arial"/>
      <w:sz w:val="24"/>
      <w:szCs w:val="24"/>
    </w:rPr>
  </w:style>
  <w:style w:type="table" w:customStyle="1" w:styleId="LightGrid-Accent11">
    <w:name w:val="Light Grid - Accent 11"/>
    <w:basedOn w:val="TableNormal"/>
    <w:next w:val="LightGrid-Accent1"/>
    <w:uiPriority w:val="62"/>
    <w:rsid w:val="00C733D4"/>
    <w:rPr>
      <w:rFonts w:eastAsia="MS Mincho"/>
      <w:sz w:val="24"/>
      <w:szCs w:val="24"/>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orbel" w:eastAsia="MS Gothic" w:hAnsi="Corbe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orbel" w:eastAsia="MS Gothic" w:hAnsi="Corbe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orbel" w:eastAsia="MS Gothic" w:hAnsi="Corbel" w:cs="Times New Roman"/>
        <w:b/>
        <w:bCs/>
      </w:rPr>
    </w:tblStylePr>
    <w:tblStylePr w:type="lastCol">
      <w:rPr>
        <w:rFonts w:ascii="Corbel" w:eastAsia="MS Gothic" w:hAnsi="Corbe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1">
    <w:name w:val="Light Grid Accent 1"/>
    <w:basedOn w:val="TableNormal"/>
    <w:uiPriority w:val="62"/>
    <w:semiHidden/>
    <w:unhideWhenUsed/>
    <w:locked/>
    <w:rsid w:val="00C733D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60463B"/>
    <w:pPr>
      <w:autoSpaceDE w:val="0"/>
      <w:autoSpaceDN w:val="0"/>
      <w:adjustRightInd w:val="0"/>
    </w:pPr>
    <w:rPr>
      <w:color w:val="000000"/>
      <w:sz w:val="24"/>
      <w:szCs w:val="24"/>
    </w:rPr>
  </w:style>
  <w:style w:type="paragraph" w:customStyle="1" w:styleId="Appendix">
    <w:name w:val="Appendix"/>
    <w:basedOn w:val="Heading1"/>
    <w:link w:val="AppendixChar"/>
    <w:qFormat/>
    <w:rsid w:val="003B3CA1"/>
  </w:style>
  <w:style w:type="character" w:customStyle="1" w:styleId="AppendixChar">
    <w:name w:val="Appendix Char"/>
    <w:basedOn w:val="Heading1Char"/>
    <w:link w:val="Appendix"/>
    <w:rsid w:val="003B3CA1"/>
    <w:rPr>
      <w:rFonts w:ascii="Arial" w:eastAsiaTheme="majorEastAsia" w:hAnsi="Arial" w:cs="Arial"/>
      <w:b/>
      <w:sz w:val="28"/>
    </w:rPr>
  </w:style>
  <w:style w:type="paragraph" w:styleId="Revision">
    <w:name w:val="Revision"/>
    <w:hidden/>
    <w:uiPriority w:val="99"/>
    <w:semiHidden/>
    <w:rsid w:val="001E7059"/>
    <w:rPr>
      <w:rFonts w:ascii="Arial" w:hAnsi="Arial" w:cs="Arial"/>
      <w:sz w:val="24"/>
      <w:szCs w:val="24"/>
    </w:rPr>
  </w:style>
  <w:style w:type="table" w:customStyle="1" w:styleId="GridTable4-Accent12">
    <w:name w:val="Grid Table 4 - Accent 12"/>
    <w:basedOn w:val="TableNormal"/>
    <w:uiPriority w:val="49"/>
    <w:rsid w:val="006B0B5B"/>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Accent 11"/>
    <w:basedOn w:val="TableNormal"/>
    <w:uiPriority w:val="49"/>
    <w:rsid w:val="006B0B5B"/>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3">
    <w:name w:val="Grid Table 4 - Accent 13"/>
    <w:basedOn w:val="TableNormal"/>
    <w:uiPriority w:val="49"/>
    <w:rsid w:val="00867709"/>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tion1">
    <w:name w:val="Mention1"/>
    <w:basedOn w:val="DefaultParagraphFont"/>
    <w:uiPriority w:val="99"/>
    <w:semiHidden/>
    <w:unhideWhenUsed/>
    <w:rsid w:val="001C76A4"/>
    <w:rPr>
      <w:color w:val="2B579A"/>
      <w:shd w:val="clear" w:color="auto" w:fill="E6E6E6"/>
    </w:rPr>
  </w:style>
  <w:style w:type="table" w:styleId="MediumShading1-Accent1">
    <w:name w:val="Medium Shading 1 Accent 1"/>
    <w:basedOn w:val="TableNormal"/>
    <w:uiPriority w:val="63"/>
    <w:locked/>
    <w:rsid w:val="009C2E60"/>
    <w:rPr>
      <w:rFonts w:asciiTheme="minorHAnsi" w:eastAsiaTheme="minorHAnsi"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List2-Accent1">
    <w:name w:val="Medium List 2 Accent 1"/>
    <w:basedOn w:val="TableNormal"/>
    <w:uiPriority w:val="66"/>
    <w:locked/>
    <w:rsid w:val="00F30CED"/>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UnresolvedMention1">
    <w:name w:val="Unresolved Mention1"/>
    <w:basedOn w:val="DefaultParagraphFont"/>
    <w:uiPriority w:val="99"/>
    <w:semiHidden/>
    <w:unhideWhenUsed/>
    <w:rsid w:val="009F60C2"/>
    <w:rPr>
      <w:color w:val="605E5C"/>
      <w:shd w:val="clear" w:color="auto" w:fill="E1DFDD"/>
    </w:rPr>
  </w:style>
  <w:style w:type="paragraph" w:customStyle="1" w:styleId="AppendixBHeading1">
    <w:name w:val="Appendix B Heading 1"/>
    <w:basedOn w:val="Heading1"/>
    <w:qFormat/>
    <w:rsid w:val="00D034D3"/>
    <w:pPr>
      <w:numPr>
        <w:numId w:val="76"/>
      </w:numPr>
    </w:pPr>
  </w:style>
  <w:style w:type="paragraph" w:customStyle="1" w:styleId="AppendixBHeading2">
    <w:name w:val="Appendix B Heading 2"/>
    <w:basedOn w:val="Heading2"/>
    <w:qFormat/>
    <w:rsid w:val="00D034D3"/>
    <w:pPr>
      <w:numPr>
        <w:numId w:val="77"/>
      </w:numPr>
      <w:ind w:left="360"/>
    </w:pPr>
    <w:rPr>
      <w:sz w:val="24"/>
    </w:rPr>
  </w:style>
  <w:style w:type="numbering" w:customStyle="1" w:styleId="Heading2ASC">
    <w:name w:val="Heading 2 ASC"/>
    <w:uiPriority w:val="99"/>
    <w:rsid w:val="007505FE"/>
    <w:pPr>
      <w:numPr>
        <w:numId w:val="78"/>
      </w:numPr>
    </w:pPr>
  </w:style>
  <w:style w:type="paragraph" w:customStyle="1" w:styleId="Heading2Hdbk">
    <w:name w:val="Heading 2 Hdbk"/>
    <w:basedOn w:val="Heading1"/>
    <w:qFormat/>
    <w:rsid w:val="009E5F95"/>
    <w:pPr>
      <w:numPr>
        <w:ilvl w:val="1"/>
        <w:numId w:val="2"/>
      </w:numPr>
    </w:pPr>
    <w:rPr>
      <w:i/>
    </w:rPr>
  </w:style>
  <w:style w:type="paragraph" w:customStyle="1" w:styleId="Heading3Hdbk">
    <w:name w:val="Heading 3 Hdbk"/>
    <w:basedOn w:val="Heading2Hdbk"/>
    <w:qFormat/>
    <w:rsid w:val="00765972"/>
    <w:pPr>
      <w:numPr>
        <w:ilvl w:val="2"/>
      </w:numPr>
    </w:pPr>
    <w:rPr>
      <w:i w:val="0"/>
      <w:sz w:val="24"/>
    </w:rPr>
  </w:style>
  <w:style w:type="character" w:styleId="UnresolvedMention">
    <w:name w:val="Unresolved Mention"/>
    <w:basedOn w:val="DefaultParagraphFont"/>
    <w:uiPriority w:val="99"/>
    <w:semiHidden/>
    <w:unhideWhenUsed/>
    <w:rsid w:val="00065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5467">
      <w:bodyDiv w:val="1"/>
      <w:marLeft w:val="0"/>
      <w:marRight w:val="0"/>
      <w:marTop w:val="0"/>
      <w:marBottom w:val="0"/>
      <w:divBdr>
        <w:top w:val="none" w:sz="0" w:space="0" w:color="auto"/>
        <w:left w:val="none" w:sz="0" w:space="0" w:color="auto"/>
        <w:bottom w:val="none" w:sz="0" w:space="0" w:color="auto"/>
        <w:right w:val="none" w:sz="0" w:space="0" w:color="auto"/>
      </w:divBdr>
    </w:div>
    <w:div w:id="27799758">
      <w:bodyDiv w:val="1"/>
      <w:marLeft w:val="0"/>
      <w:marRight w:val="0"/>
      <w:marTop w:val="0"/>
      <w:marBottom w:val="0"/>
      <w:divBdr>
        <w:top w:val="none" w:sz="0" w:space="0" w:color="auto"/>
        <w:left w:val="none" w:sz="0" w:space="0" w:color="auto"/>
        <w:bottom w:val="none" w:sz="0" w:space="0" w:color="auto"/>
        <w:right w:val="none" w:sz="0" w:space="0" w:color="auto"/>
      </w:divBdr>
    </w:div>
    <w:div w:id="63188102">
      <w:bodyDiv w:val="1"/>
      <w:marLeft w:val="0"/>
      <w:marRight w:val="0"/>
      <w:marTop w:val="0"/>
      <w:marBottom w:val="0"/>
      <w:divBdr>
        <w:top w:val="none" w:sz="0" w:space="0" w:color="auto"/>
        <w:left w:val="none" w:sz="0" w:space="0" w:color="auto"/>
        <w:bottom w:val="none" w:sz="0" w:space="0" w:color="auto"/>
        <w:right w:val="none" w:sz="0" w:space="0" w:color="auto"/>
      </w:divBdr>
    </w:div>
    <w:div w:id="126048829">
      <w:bodyDiv w:val="1"/>
      <w:marLeft w:val="0"/>
      <w:marRight w:val="0"/>
      <w:marTop w:val="0"/>
      <w:marBottom w:val="0"/>
      <w:divBdr>
        <w:top w:val="none" w:sz="0" w:space="0" w:color="auto"/>
        <w:left w:val="none" w:sz="0" w:space="0" w:color="auto"/>
        <w:bottom w:val="none" w:sz="0" w:space="0" w:color="auto"/>
        <w:right w:val="none" w:sz="0" w:space="0" w:color="auto"/>
      </w:divBdr>
    </w:div>
    <w:div w:id="162013263">
      <w:bodyDiv w:val="1"/>
      <w:marLeft w:val="0"/>
      <w:marRight w:val="0"/>
      <w:marTop w:val="0"/>
      <w:marBottom w:val="0"/>
      <w:divBdr>
        <w:top w:val="none" w:sz="0" w:space="0" w:color="auto"/>
        <w:left w:val="none" w:sz="0" w:space="0" w:color="auto"/>
        <w:bottom w:val="none" w:sz="0" w:space="0" w:color="auto"/>
        <w:right w:val="none" w:sz="0" w:space="0" w:color="auto"/>
      </w:divBdr>
    </w:div>
    <w:div w:id="205409235">
      <w:bodyDiv w:val="1"/>
      <w:marLeft w:val="0"/>
      <w:marRight w:val="0"/>
      <w:marTop w:val="0"/>
      <w:marBottom w:val="0"/>
      <w:divBdr>
        <w:top w:val="none" w:sz="0" w:space="0" w:color="auto"/>
        <w:left w:val="none" w:sz="0" w:space="0" w:color="auto"/>
        <w:bottom w:val="none" w:sz="0" w:space="0" w:color="auto"/>
        <w:right w:val="none" w:sz="0" w:space="0" w:color="auto"/>
      </w:divBdr>
    </w:div>
    <w:div w:id="218518178">
      <w:bodyDiv w:val="1"/>
      <w:marLeft w:val="0"/>
      <w:marRight w:val="0"/>
      <w:marTop w:val="0"/>
      <w:marBottom w:val="0"/>
      <w:divBdr>
        <w:top w:val="none" w:sz="0" w:space="0" w:color="auto"/>
        <w:left w:val="none" w:sz="0" w:space="0" w:color="auto"/>
        <w:bottom w:val="none" w:sz="0" w:space="0" w:color="auto"/>
        <w:right w:val="none" w:sz="0" w:space="0" w:color="auto"/>
      </w:divBdr>
    </w:div>
    <w:div w:id="245119475">
      <w:bodyDiv w:val="1"/>
      <w:marLeft w:val="0"/>
      <w:marRight w:val="0"/>
      <w:marTop w:val="0"/>
      <w:marBottom w:val="0"/>
      <w:divBdr>
        <w:top w:val="none" w:sz="0" w:space="0" w:color="auto"/>
        <w:left w:val="none" w:sz="0" w:space="0" w:color="auto"/>
        <w:bottom w:val="none" w:sz="0" w:space="0" w:color="auto"/>
        <w:right w:val="none" w:sz="0" w:space="0" w:color="auto"/>
      </w:divBdr>
    </w:div>
    <w:div w:id="265968894">
      <w:bodyDiv w:val="1"/>
      <w:marLeft w:val="0"/>
      <w:marRight w:val="0"/>
      <w:marTop w:val="0"/>
      <w:marBottom w:val="0"/>
      <w:divBdr>
        <w:top w:val="none" w:sz="0" w:space="0" w:color="auto"/>
        <w:left w:val="none" w:sz="0" w:space="0" w:color="auto"/>
        <w:bottom w:val="none" w:sz="0" w:space="0" w:color="auto"/>
        <w:right w:val="none" w:sz="0" w:space="0" w:color="auto"/>
      </w:divBdr>
    </w:div>
    <w:div w:id="276641041">
      <w:bodyDiv w:val="1"/>
      <w:marLeft w:val="0"/>
      <w:marRight w:val="0"/>
      <w:marTop w:val="0"/>
      <w:marBottom w:val="0"/>
      <w:divBdr>
        <w:top w:val="none" w:sz="0" w:space="0" w:color="auto"/>
        <w:left w:val="none" w:sz="0" w:space="0" w:color="auto"/>
        <w:bottom w:val="none" w:sz="0" w:space="0" w:color="auto"/>
        <w:right w:val="none" w:sz="0" w:space="0" w:color="auto"/>
      </w:divBdr>
    </w:div>
    <w:div w:id="283779014">
      <w:bodyDiv w:val="1"/>
      <w:marLeft w:val="0"/>
      <w:marRight w:val="0"/>
      <w:marTop w:val="0"/>
      <w:marBottom w:val="0"/>
      <w:divBdr>
        <w:top w:val="none" w:sz="0" w:space="0" w:color="auto"/>
        <w:left w:val="none" w:sz="0" w:space="0" w:color="auto"/>
        <w:bottom w:val="none" w:sz="0" w:space="0" w:color="auto"/>
        <w:right w:val="none" w:sz="0" w:space="0" w:color="auto"/>
      </w:divBdr>
    </w:div>
    <w:div w:id="322509107">
      <w:bodyDiv w:val="1"/>
      <w:marLeft w:val="0"/>
      <w:marRight w:val="0"/>
      <w:marTop w:val="0"/>
      <w:marBottom w:val="0"/>
      <w:divBdr>
        <w:top w:val="none" w:sz="0" w:space="0" w:color="auto"/>
        <w:left w:val="none" w:sz="0" w:space="0" w:color="auto"/>
        <w:bottom w:val="none" w:sz="0" w:space="0" w:color="auto"/>
        <w:right w:val="none" w:sz="0" w:space="0" w:color="auto"/>
      </w:divBdr>
    </w:div>
    <w:div w:id="336276860">
      <w:bodyDiv w:val="1"/>
      <w:marLeft w:val="0"/>
      <w:marRight w:val="0"/>
      <w:marTop w:val="0"/>
      <w:marBottom w:val="0"/>
      <w:divBdr>
        <w:top w:val="none" w:sz="0" w:space="0" w:color="auto"/>
        <w:left w:val="none" w:sz="0" w:space="0" w:color="auto"/>
        <w:bottom w:val="none" w:sz="0" w:space="0" w:color="auto"/>
        <w:right w:val="none" w:sz="0" w:space="0" w:color="auto"/>
      </w:divBdr>
    </w:div>
    <w:div w:id="347754910">
      <w:bodyDiv w:val="1"/>
      <w:marLeft w:val="0"/>
      <w:marRight w:val="0"/>
      <w:marTop w:val="0"/>
      <w:marBottom w:val="0"/>
      <w:divBdr>
        <w:top w:val="none" w:sz="0" w:space="0" w:color="auto"/>
        <w:left w:val="none" w:sz="0" w:space="0" w:color="auto"/>
        <w:bottom w:val="none" w:sz="0" w:space="0" w:color="auto"/>
        <w:right w:val="none" w:sz="0" w:space="0" w:color="auto"/>
      </w:divBdr>
    </w:div>
    <w:div w:id="366371092">
      <w:bodyDiv w:val="1"/>
      <w:marLeft w:val="0"/>
      <w:marRight w:val="0"/>
      <w:marTop w:val="0"/>
      <w:marBottom w:val="0"/>
      <w:divBdr>
        <w:top w:val="none" w:sz="0" w:space="0" w:color="auto"/>
        <w:left w:val="none" w:sz="0" w:space="0" w:color="auto"/>
        <w:bottom w:val="none" w:sz="0" w:space="0" w:color="auto"/>
        <w:right w:val="none" w:sz="0" w:space="0" w:color="auto"/>
      </w:divBdr>
    </w:div>
    <w:div w:id="384333967">
      <w:bodyDiv w:val="1"/>
      <w:marLeft w:val="0"/>
      <w:marRight w:val="0"/>
      <w:marTop w:val="0"/>
      <w:marBottom w:val="0"/>
      <w:divBdr>
        <w:top w:val="none" w:sz="0" w:space="0" w:color="auto"/>
        <w:left w:val="none" w:sz="0" w:space="0" w:color="auto"/>
        <w:bottom w:val="none" w:sz="0" w:space="0" w:color="auto"/>
        <w:right w:val="none" w:sz="0" w:space="0" w:color="auto"/>
      </w:divBdr>
    </w:div>
    <w:div w:id="400830060">
      <w:bodyDiv w:val="1"/>
      <w:marLeft w:val="0"/>
      <w:marRight w:val="0"/>
      <w:marTop w:val="0"/>
      <w:marBottom w:val="0"/>
      <w:divBdr>
        <w:top w:val="none" w:sz="0" w:space="0" w:color="auto"/>
        <w:left w:val="none" w:sz="0" w:space="0" w:color="auto"/>
        <w:bottom w:val="none" w:sz="0" w:space="0" w:color="auto"/>
        <w:right w:val="none" w:sz="0" w:space="0" w:color="auto"/>
      </w:divBdr>
    </w:div>
    <w:div w:id="403723849">
      <w:bodyDiv w:val="1"/>
      <w:marLeft w:val="0"/>
      <w:marRight w:val="0"/>
      <w:marTop w:val="0"/>
      <w:marBottom w:val="0"/>
      <w:divBdr>
        <w:top w:val="none" w:sz="0" w:space="0" w:color="auto"/>
        <w:left w:val="none" w:sz="0" w:space="0" w:color="auto"/>
        <w:bottom w:val="none" w:sz="0" w:space="0" w:color="auto"/>
        <w:right w:val="none" w:sz="0" w:space="0" w:color="auto"/>
      </w:divBdr>
    </w:div>
    <w:div w:id="412514688">
      <w:bodyDiv w:val="1"/>
      <w:marLeft w:val="0"/>
      <w:marRight w:val="0"/>
      <w:marTop w:val="0"/>
      <w:marBottom w:val="0"/>
      <w:divBdr>
        <w:top w:val="none" w:sz="0" w:space="0" w:color="auto"/>
        <w:left w:val="none" w:sz="0" w:space="0" w:color="auto"/>
        <w:bottom w:val="none" w:sz="0" w:space="0" w:color="auto"/>
        <w:right w:val="none" w:sz="0" w:space="0" w:color="auto"/>
      </w:divBdr>
    </w:div>
    <w:div w:id="439031419">
      <w:bodyDiv w:val="1"/>
      <w:marLeft w:val="0"/>
      <w:marRight w:val="0"/>
      <w:marTop w:val="0"/>
      <w:marBottom w:val="0"/>
      <w:divBdr>
        <w:top w:val="none" w:sz="0" w:space="0" w:color="auto"/>
        <w:left w:val="none" w:sz="0" w:space="0" w:color="auto"/>
        <w:bottom w:val="none" w:sz="0" w:space="0" w:color="auto"/>
        <w:right w:val="none" w:sz="0" w:space="0" w:color="auto"/>
      </w:divBdr>
    </w:div>
    <w:div w:id="482888592">
      <w:bodyDiv w:val="1"/>
      <w:marLeft w:val="0"/>
      <w:marRight w:val="0"/>
      <w:marTop w:val="0"/>
      <w:marBottom w:val="0"/>
      <w:divBdr>
        <w:top w:val="none" w:sz="0" w:space="0" w:color="auto"/>
        <w:left w:val="none" w:sz="0" w:space="0" w:color="auto"/>
        <w:bottom w:val="none" w:sz="0" w:space="0" w:color="auto"/>
        <w:right w:val="none" w:sz="0" w:space="0" w:color="auto"/>
      </w:divBdr>
    </w:div>
    <w:div w:id="596668834">
      <w:bodyDiv w:val="1"/>
      <w:marLeft w:val="0"/>
      <w:marRight w:val="0"/>
      <w:marTop w:val="0"/>
      <w:marBottom w:val="0"/>
      <w:divBdr>
        <w:top w:val="none" w:sz="0" w:space="0" w:color="auto"/>
        <w:left w:val="none" w:sz="0" w:space="0" w:color="auto"/>
        <w:bottom w:val="none" w:sz="0" w:space="0" w:color="auto"/>
        <w:right w:val="none" w:sz="0" w:space="0" w:color="auto"/>
      </w:divBdr>
    </w:div>
    <w:div w:id="600457192">
      <w:bodyDiv w:val="1"/>
      <w:marLeft w:val="0"/>
      <w:marRight w:val="0"/>
      <w:marTop w:val="0"/>
      <w:marBottom w:val="0"/>
      <w:divBdr>
        <w:top w:val="none" w:sz="0" w:space="0" w:color="auto"/>
        <w:left w:val="none" w:sz="0" w:space="0" w:color="auto"/>
        <w:bottom w:val="none" w:sz="0" w:space="0" w:color="auto"/>
        <w:right w:val="none" w:sz="0" w:space="0" w:color="auto"/>
      </w:divBdr>
    </w:div>
    <w:div w:id="627978171">
      <w:bodyDiv w:val="1"/>
      <w:marLeft w:val="0"/>
      <w:marRight w:val="0"/>
      <w:marTop w:val="0"/>
      <w:marBottom w:val="0"/>
      <w:divBdr>
        <w:top w:val="none" w:sz="0" w:space="0" w:color="auto"/>
        <w:left w:val="none" w:sz="0" w:space="0" w:color="auto"/>
        <w:bottom w:val="none" w:sz="0" w:space="0" w:color="auto"/>
        <w:right w:val="none" w:sz="0" w:space="0" w:color="auto"/>
      </w:divBdr>
    </w:div>
    <w:div w:id="634721954">
      <w:bodyDiv w:val="1"/>
      <w:marLeft w:val="0"/>
      <w:marRight w:val="0"/>
      <w:marTop w:val="0"/>
      <w:marBottom w:val="0"/>
      <w:divBdr>
        <w:top w:val="none" w:sz="0" w:space="0" w:color="auto"/>
        <w:left w:val="none" w:sz="0" w:space="0" w:color="auto"/>
        <w:bottom w:val="none" w:sz="0" w:space="0" w:color="auto"/>
        <w:right w:val="none" w:sz="0" w:space="0" w:color="auto"/>
      </w:divBdr>
    </w:div>
    <w:div w:id="641271750">
      <w:bodyDiv w:val="1"/>
      <w:marLeft w:val="0"/>
      <w:marRight w:val="0"/>
      <w:marTop w:val="0"/>
      <w:marBottom w:val="0"/>
      <w:divBdr>
        <w:top w:val="none" w:sz="0" w:space="0" w:color="auto"/>
        <w:left w:val="none" w:sz="0" w:space="0" w:color="auto"/>
        <w:bottom w:val="none" w:sz="0" w:space="0" w:color="auto"/>
        <w:right w:val="none" w:sz="0" w:space="0" w:color="auto"/>
      </w:divBdr>
    </w:div>
    <w:div w:id="650139644">
      <w:bodyDiv w:val="1"/>
      <w:marLeft w:val="0"/>
      <w:marRight w:val="0"/>
      <w:marTop w:val="0"/>
      <w:marBottom w:val="0"/>
      <w:divBdr>
        <w:top w:val="none" w:sz="0" w:space="0" w:color="auto"/>
        <w:left w:val="none" w:sz="0" w:space="0" w:color="auto"/>
        <w:bottom w:val="none" w:sz="0" w:space="0" w:color="auto"/>
        <w:right w:val="none" w:sz="0" w:space="0" w:color="auto"/>
      </w:divBdr>
    </w:div>
    <w:div w:id="680664574">
      <w:bodyDiv w:val="1"/>
      <w:marLeft w:val="0"/>
      <w:marRight w:val="0"/>
      <w:marTop w:val="0"/>
      <w:marBottom w:val="0"/>
      <w:divBdr>
        <w:top w:val="none" w:sz="0" w:space="0" w:color="auto"/>
        <w:left w:val="none" w:sz="0" w:space="0" w:color="auto"/>
        <w:bottom w:val="none" w:sz="0" w:space="0" w:color="auto"/>
        <w:right w:val="none" w:sz="0" w:space="0" w:color="auto"/>
      </w:divBdr>
    </w:div>
    <w:div w:id="692610384">
      <w:bodyDiv w:val="1"/>
      <w:marLeft w:val="0"/>
      <w:marRight w:val="0"/>
      <w:marTop w:val="0"/>
      <w:marBottom w:val="0"/>
      <w:divBdr>
        <w:top w:val="none" w:sz="0" w:space="0" w:color="auto"/>
        <w:left w:val="none" w:sz="0" w:space="0" w:color="auto"/>
        <w:bottom w:val="none" w:sz="0" w:space="0" w:color="auto"/>
        <w:right w:val="none" w:sz="0" w:space="0" w:color="auto"/>
      </w:divBdr>
    </w:div>
    <w:div w:id="729547099">
      <w:bodyDiv w:val="1"/>
      <w:marLeft w:val="0"/>
      <w:marRight w:val="0"/>
      <w:marTop w:val="0"/>
      <w:marBottom w:val="0"/>
      <w:divBdr>
        <w:top w:val="none" w:sz="0" w:space="0" w:color="auto"/>
        <w:left w:val="none" w:sz="0" w:space="0" w:color="auto"/>
        <w:bottom w:val="none" w:sz="0" w:space="0" w:color="auto"/>
        <w:right w:val="none" w:sz="0" w:space="0" w:color="auto"/>
      </w:divBdr>
    </w:div>
    <w:div w:id="750663595">
      <w:bodyDiv w:val="1"/>
      <w:marLeft w:val="0"/>
      <w:marRight w:val="0"/>
      <w:marTop w:val="0"/>
      <w:marBottom w:val="0"/>
      <w:divBdr>
        <w:top w:val="none" w:sz="0" w:space="0" w:color="auto"/>
        <w:left w:val="none" w:sz="0" w:space="0" w:color="auto"/>
        <w:bottom w:val="none" w:sz="0" w:space="0" w:color="auto"/>
        <w:right w:val="none" w:sz="0" w:space="0" w:color="auto"/>
      </w:divBdr>
    </w:div>
    <w:div w:id="754590643">
      <w:bodyDiv w:val="1"/>
      <w:marLeft w:val="0"/>
      <w:marRight w:val="0"/>
      <w:marTop w:val="0"/>
      <w:marBottom w:val="0"/>
      <w:divBdr>
        <w:top w:val="none" w:sz="0" w:space="0" w:color="auto"/>
        <w:left w:val="none" w:sz="0" w:space="0" w:color="auto"/>
        <w:bottom w:val="none" w:sz="0" w:space="0" w:color="auto"/>
        <w:right w:val="none" w:sz="0" w:space="0" w:color="auto"/>
      </w:divBdr>
    </w:div>
    <w:div w:id="877863241">
      <w:bodyDiv w:val="1"/>
      <w:marLeft w:val="0"/>
      <w:marRight w:val="0"/>
      <w:marTop w:val="0"/>
      <w:marBottom w:val="0"/>
      <w:divBdr>
        <w:top w:val="none" w:sz="0" w:space="0" w:color="auto"/>
        <w:left w:val="none" w:sz="0" w:space="0" w:color="auto"/>
        <w:bottom w:val="none" w:sz="0" w:space="0" w:color="auto"/>
        <w:right w:val="none" w:sz="0" w:space="0" w:color="auto"/>
      </w:divBdr>
    </w:div>
    <w:div w:id="901449551">
      <w:bodyDiv w:val="1"/>
      <w:marLeft w:val="0"/>
      <w:marRight w:val="0"/>
      <w:marTop w:val="0"/>
      <w:marBottom w:val="0"/>
      <w:divBdr>
        <w:top w:val="none" w:sz="0" w:space="0" w:color="auto"/>
        <w:left w:val="none" w:sz="0" w:space="0" w:color="auto"/>
        <w:bottom w:val="none" w:sz="0" w:space="0" w:color="auto"/>
        <w:right w:val="none" w:sz="0" w:space="0" w:color="auto"/>
      </w:divBdr>
    </w:div>
    <w:div w:id="958144062">
      <w:bodyDiv w:val="1"/>
      <w:marLeft w:val="0"/>
      <w:marRight w:val="0"/>
      <w:marTop w:val="0"/>
      <w:marBottom w:val="0"/>
      <w:divBdr>
        <w:top w:val="none" w:sz="0" w:space="0" w:color="auto"/>
        <w:left w:val="none" w:sz="0" w:space="0" w:color="auto"/>
        <w:bottom w:val="none" w:sz="0" w:space="0" w:color="auto"/>
        <w:right w:val="none" w:sz="0" w:space="0" w:color="auto"/>
      </w:divBdr>
    </w:div>
    <w:div w:id="959646160">
      <w:bodyDiv w:val="1"/>
      <w:marLeft w:val="0"/>
      <w:marRight w:val="0"/>
      <w:marTop w:val="0"/>
      <w:marBottom w:val="0"/>
      <w:divBdr>
        <w:top w:val="none" w:sz="0" w:space="0" w:color="auto"/>
        <w:left w:val="none" w:sz="0" w:space="0" w:color="auto"/>
        <w:bottom w:val="none" w:sz="0" w:space="0" w:color="auto"/>
        <w:right w:val="none" w:sz="0" w:space="0" w:color="auto"/>
      </w:divBdr>
    </w:div>
    <w:div w:id="979261349">
      <w:bodyDiv w:val="1"/>
      <w:marLeft w:val="0"/>
      <w:marRight w:val="0"/>
      <w:marTop w:val="0"/>
      <w:marBottom w:val="0"/>
      <w:divBdr>
        <w:top w:val="none" w:sz="0" w:space="0" w:color="auto"/>
        <w:left w:val="none" w:sz="0" w:space="0" w:color="auto"/>
        <w:bottom w:val="none" w:sz="0" w:space="0" w:color="auto"/>
        <w:right w:val="none" w:sz="0" w:space="0" w:color="auto"/>
      </w:divBdr>
    </w:div>
    <w:div w:id="987515902">
      <w:bodyDiv w:val="1"/>
      <w:marLeft w:val="0"/>
      <w:marRight w:val="0"/>
      <w:marTop w:val="0"/>
      <w:marBottom w:val="0"/>
      <w:divBdr>
        <w:top w:val="none" w:sz="0" w:space="0" w:color="auto"/>
        <w:left w:val="none" w:sz="0" w:space="0" w:color="auto"/>
        <w:bottom w:val="none" w:sz="0" w:space="0" w:color="auto"/>
        <w:right w:val="none" w:sz="0" w:space="0" w:color="auto"/>
      </w:divBdr>
    </w:div>
    <w:div w:id="1010639551">
      <w:bodyDiv w:val="1"/>
      <w:marLeft w:val="0"/>
      <w:marRight w:val="0"/>
      <w:marTop w:val="0"/>
      <w:marBottom w:val="0"/>
      <w:divBdr>
        <w:top w:val="none" w:sz="0" w:space="0" w:color="auto"/>
        <w:left w:val="none" w:sz="0" w:space="0" w:color="auto"/>
        <w:bottom w:val="none" w:sz="0" w:space="0" w:color="auto"/>
        <w:right w:val="none" w:sz="0" w:space="0" w:color="auto"/>
      </w:divBdr>
    </w:div>
    <w:div w:id="1023091019">
      <w:bodyDiv w:val="1"/>
      <w:marLeft w:val="0"/>
      <w:marRight w:val="0"/>
      <w:marTop w:val="0"/>
      <w:marBottom w:val="0"/>
      <w:divBdr>
        <w:top w:val="none" w:sz="0" w:space="0" w:color="auto"/>
        <w:left w:val="none" w:sz="0" w:space="0" w:color="auto"/>
        <w:bottom w:val="none" w:sz="0" w:space="0" w:color="auto"/>
        <w:right w:val="none" w:sz="0" w:space="0" w:color="auto"/>
      </w:divBdr>
    </w:div>
    <w:div w:id="1025403556">
      <w:bodyDiv w:val="1"/>
      <w:marLeft w:val="0"/>
      <w:marRight w:val="0"/>
      <w:marTop w:val="0"/>
      <w:marBottom w:val="0"/>
      <w:divBdr>
        <w:top w:val="none" w:sz="0" w:space="0" w:color="auto"/>
        <w:left w:val="none" w:sz="0" w:space="0" w:color="auto"/>
        <w:bottom w:val="none" w:sz="0" w:space="0" w:color="auto"/>
        <w:right w:val="none" w:sz="0" w:space="0" w:color="auto"/>
      </w:divBdr>
    </w:div>
    <w:div w:id="1032152486">
      <w:bodyDiv w:val="1"/>
      <w:marLeft w:val="0"/>
      <w:marRight w:val="0"/>
      <w:marTop w:val="0"/>
      <w:marBottom w:val="0"/>
      <w:divBdr>
        <w:top w:val="none" w:sz="0" w:space="0" w:color="auto"/>
        <w:left w:val="none" w:sz="0" w:space="0" w:color="auto"/>
        <w:bottom w:val="none" w:sz="0" w:space="0" w:color="auto"/>
        <w:right w:val="none" w:sz="0" w:space="0" w:color="auto"/>
      </w:divBdr>
    </w:div>
    <w:div w:id="1061714291">
      <w:bodyDiv w:val="1"/>
      <w:marLeft w:val="0"/>
      <w:marRight w:val="0"/>
      <w:marTop w:val="0"/>
      <w:marBottom w:val="0"/>
      <w:divBdr>
        <w:top w:val="none" w:sz="0" w:space="0" w:color="auto"/>
        <w:left w:val="none" w:sz="0" w:space="0" w:color="auto"/>
        <w:bottom w:val="none" w:sz="0" w:space="0" w:color="auto"/>
        <w:right w:val="none" w:sz="0" w:space="0" w:color="auto"/>
      </w:divBdr>
    </w:div>
    <w:div w:id="1092818859">
      <w:bodyDiv w:val="1"/>
      <w:marLeft w:val="0"/>
      <w:marRight w:val="0"/>
      <w:marTop w:val="0"/>
      <w:marBottom w:val="0"/>
      <w:divBdr>
        <w:top w:val="none" w:sz="0" w:space="0" w:color="auto"/>
        <w:left w:val="none" w:sz="0" w:space="0" w:color="auto"/>
        <w:bottom w:val="none" w:sz="0" w:space="0" w:color="auto"/>
        <w:right w:val="none" w:sz="0" w:space="0" w:color="auto"/>
      </w:divBdr>
    </w:div>
    <w:div w:id="1094395631">
      <w:bodyDiv w:val="1"/>
      <w:marLeft w:val="0"/>
      <w:marRight w:val="0"/>
      <w:marTop w:val="0"/>
      <w:marBottom w:val="0"/>
      <w:divBdr>
        <w:top w:val="none" w:sz="0" w:space="0" w:color="auto"/>
        <w:left w:val="none" w:sz="0" w:space="0" w:color="auto"/>
        <w:bottom w:val="none" w:sz="0" w:space="0" w:color="auto"/>
        <w:right w:val="none" w:sz="0" w:space="0" w:color="auto"/>
      </w:divBdr>
    </w:div>
    <w:div w:id="1137264512">
      <w:bodyDiv w:val="1"/>
      <w:marLeft w:val="0"/>
      <w:marRight w:val="0"/>
      <w:marTop w:val="0"/>
      <w:marBottom w:val="0"/>
      <w:divBdr>
        <w:top w:val="none" w:sz="0" w:space="0" w:color="auto"/>
        <w:left w:val="none" w:sz="0" w:space="0" w:color="auto"/>
        <w:bottom w:val="none" w:sz="0" w:space="0" w:color="auto"/>
        <w:right w:val="none" w:sz="0" w:space="0" w:color="auto"/>
      </w:divBdr>
    </w:div>
    <w:div w:id="1177118527">
      <w:bodyDiv w:val="1"/>
      <w:marLeft w:val="0"/>
      <w:marRight w:val="0"/>
      <w:marTop w:val="0"/>
      <w:marBottom w:val="0"/>
      <w:divBdr>
        <w:top w:val="none" w:sz="0" w:space="0" w:color="auto"/>
        <w:left w:val="none" w:sz="0" w:space="0" w:color="auto"/>
        <w:bottom w:val="none" w:sz="0" w:space="0" w:color="auto"/>
        <w:right w:val="none" w:sz="0" w:space="0" w:color="auto"/>
      </w:divBdr>
    </w:div>
    <w:div w:id="1190341470">
      <w:bodyDiv w:val="1"/>
      <w:marLeft w:val="0"/>
      <w:marRight w:val="0"/>
      <w:marTop w:val="0"/>
      <w:marBottom w:val="0"/>
      <w:divBdr>
        <w:top w:val="none" w:sz="0" w:space="0" w:color="auto"/>
        <w:left w:val="none" w:sz="0" w:space="0" w:color="auto"/>
        <w:bottom w:val="none" w:sz="0" w:space="0" w:color="auto"/>
        <w:right w:val="none" w:sz="0" w:space="0" w:color="auto"/>
      </w:divBdr>
    </w:div>
    <w:div w:id="1193030237">
      <w:bodyDiv w:val="1"/>
      <w:marLeft w:val="0"/>
      <w:marRight w:val="0"/>
      <w:marTop w:val="0"/>
      <w:marBottom w:val="0"/>
      <w:divBdr>
        <w:top w:val="none" w:sz="0" w:space="0" w:color="auto"/>
        <w:left w:val="none" w:sz="0" w:space="0" w:color="auto"/>
        <w:bottom w:val="none" w:sz="0" w:space="0" w:color="auto"/>
        <w:right w:val="none" w:sz="0" w:space="0" w:color="auto"/>
      </w:divBdr>
    </w:div>
    <w:div w:id="1224104331">
      <w:bodyDiv w:val="1"/>
      <w:marLeft w:val="0"/>
      <w:marRight w:val="0"/>
      <w:marTop w:val="0"/>
      <w:marBottom w:val="0"/>
      <w:divBdr>
        <w:top w:val="none" w:sz="0" w:space="0" w:color="auto"/>
        <w:left w:val="none" w:sz="0" w:space="0" w:color="auto"/>
        <w:bottom w:val="none" w:sz="0" w:space="0" w:color="auto"/>
        <w:right w:val="none" w:sz="0" w:space="0" w:color="auto"/>
      </w:divBdr>
    </w:div>
    <w:div w:id="1246111122">
      <w:bodyDiv w:val="1"/>
      <w:marLeft w:val="0"/>
      <w:marRight w:val="0"/>
      <w:marTop w:val="0"/>
      <w:marBottom w:val="0"/>
      <w:divBdr>
        <w:top w:val="none" w:sz="0" w:space="0" w:color="auto"/>
        <w:left w:val="none" w:sz="0" w:space="0" w:color="auto"/>
        <w:bottom w:val="none" w:sz="0" w:space="0" w:color="auto"/>
        <w:right w:val="none" w:sz="0" w:space="0" w:color="auto"/>
      </w:divBdr>
    </w:div>
    <w:div w:id="1275869482">
      <w:bodyDiv w:val="1"/>
      <w:marLeft w:val="0"/>
      <w:marRight w:val="0"/>
      <w:marTop w:val="0"/>
      <w:marBottom w:val="0"/>
      <w:divBdr>
        <w:top w:val="none" w:sz="0" w:space="0" w:color="auto"/>
        <w:left w:val="none" w:sz="0" w:space="0" w:color="auto"/>
        <w:bottom w:val="none" w:sz="0" w:space="0" w:color="auto"/>
        <w:right w:val="none" w:sz="0" w:space="0" w:color="auto"/>
      </w:divBdr>
    </w:div>
    <w:div w:id="1310985076">
      <w:bodyDiv w:val="1"/>
      <w:marLeft w:val="0"/>
      <w:marRight w:val="0"/>
      <w:marTop w:val="0"/>
      <w:marBottom w:val="0"/>
      <w:divBdr>
        <w:top w:val="none" w:sz="0" w:space="0" w:color="auto"/>
        <w:left w:val="none" w:sz="0" w:space="0" w:color="auto"/>
        <w:bottom w:val="none" w:sz="0" w:space="0" w:color="auto"/>
        <w:right w:val="none" w:sz="0" w:space="0" w:color="auto"/>
      </w:divBdr>
    </w:div>
    <w:div w:id="1315642999">
      <w:bodyDiv w:val="1"/>
      <w:marLeft w:val="0"/>
      <w:marRight w:val="0"/>
      <w:marTop w:val="0"/>
      <w:marBottom w:val="0"/>
      <w:divBdr>
        <w:top w:val="none" w:sz="0" w:space="0" w:color="auto"/>
        <w:left w:val="none" w:sz="0" w:space="0" w:color="auto"/>
        <w:bottom w:val="none" w:sz="0" w:space="0" w:color="auto"/>
        <w:right w:val="none" w:sz="0" w:space="0" w:color="auto"/>
      </w:divBdr>
    </w:div>
    <w:div w:id="1341009041">
      <w:bodyDiv w:val="1"/>
      <w:marLeft w:val="0"/>
      <w:marRight w:val="0"/>
      <w:marTop w:val="0"/>
      <w:marBottom w:val="0"/>
      <w:divBdr>
        <w:top w:val="none" w:sz="0" w:space="0" w:color="auto"/>
        <w:left w:val="none" w:sz="0" w:space="0" w:color="auto"/>
        <w:bottom w:val="none" w:sz="0" w:space="0" w:color="auto"/>
        <w:right w:val="none" w:sz="0" w:space="0" w:color="auto"/>
      </w:divBdr>
    </w:div>
    <w:div w:id="1354574548">
      <w:bodyDiv w:val="1"/>
      <w:marLeft w:val="0"/>
      <w:marRight w:val="0"/>
      <w:marTop w:val="0"/>
      <w:marBottom w:val="0"/>
      <w:divBdr>
        <w:top w:val="none" w:sz="0" w:space="0" w:color="auto"/>
        <w:left w:val="none" w:sz="0" w:space="0" w:color="auto"/>
        <w:bottom w:val="none" w:sz="0" w:space="0" w:color="auto"/>
        <w:right w:val="none" w:sz="0" w:space="0" w:color="auto"/>
      </w:divBdr>
    </w:div>
    <w:div w:id="1405225338">
      <w:bodyDiv w:val="1"/>
      <w:marLeft w:val="0"/>
      <w:marRight w:val="0"/>
      <w:marTop w:val="0"/>
      <w:marBottom w:val="0"/>
      <w:divBdr>
        <w:top w:val="none" w:sz="0" w:space="0" w:color="auto"/>
        <w:left w:val="none" w:sz="0" w:space="0" w:color="auto"/>
        <w:bottom w:val="none" w:sz="0" w:space="0" w:color="auto"/>
        <w:right w:val="none" w:sz="0" w:space="0" w:color="auto"/>
      </w:divBdr>
    </w:div>
    <w:div w:id="1413549480">
      <w:bodyDiv w:val="1"/>
      <w:marLeft w:val="0"/>
      <w:marRight w:val="0"/>
      <w:marTop w:val="0"/>
      <w:marBottom w:val="0"/>
      <w:divBdr>
        <w:top w:val="none" w:sz="0" w:space="0" w:color="auto"/>
        <w:left w:val="none" w:sz="0" w:space="0" w:color="auto"/>
        <w:bottom w:val="none" w:sz="0" w:space="0" w:color="auto"/>
        <w:right w:val="none" w:sz="0" w:space="0" w:color="auto"/>
      </w:divBdr>
    </w:div>
    <w:div w:id="1492331163">
      <w:bodyDiv w:val="1"/>
      <w:marLeft w:val="0"/>
      <w:marRight w:val="0"/>
      <w:marTop w:val="0"/>
      <w:marBottom w:val="0"/>
      <w:divBdr>
        <w:top w:val="none" w:sz="0" w:space="0" w:color="auto"/>
        <w:left w:val="none" w:sz="0" w:space="0" w:color="auto"/>
        <w:bottom w:val="none" w:sz="0" w:space="0" w:color="auto"/>
        <w:right w:val="none" w:sz="0" w:space="0" w:color="auto"/>
      </w:divBdr>
    </w:div>
    <w:div w:id="1535264001">
      <w:bodyDiv w:val="1"/>
      <w:marLeft w:val="0"/>
      <w:marRight w:val="0"/>
      <w:marTop w:val="0"/>
      <w:marBottom w:val="0"/>
      <w:divBdr>
        <w:top w:val="none" w:sz="0" w:space="0" w:color="auto"/>
        <w:left w:val="none" w:sz="0" w:space="0" w:color="auto"/>
        <w:bottom w:val="none" w:sz="0" w:space="0" w:color="auto"/>
        <w:right w:val="none" w:sz="0" w:space="0" w:color="auto"/>
      </w:divBdr>
    </w:div>
    <w:div w:id="1544177075">
      <w:bodyDiv w:val="1"/>
      <w:marLeft w:val="0"/>
      <w:marRight w:val="0"/>
      <w:marTop w:val="0"/>
      <w:marBottom w:val="0"/>
      <w:divBdr>
        <w:top w:val="none" w:sz="0" w:space="0" w:color="auto"/>
        <w:left w:val="none" w:sz="0" w:space="0" w:color="auto"/>
        <w:bottom w:val="none" w:sz="0" w:space="0" w:color="auto"/>
        <w:right w:val="none" w:sz="0" w:space="0" w:color="auto"/>
      </w:divBdr>
    </w:div>
    <w:div w:id="1551652417">
      <w:bodyDiv w:val="1"/>
      <w:marLeft w:val="0"/>
      <w:marRight w:val="0"/>
      <w:marTop w:val="0"/>
      <w:marBottom w:val="0"/>
      <w:divBdr>
        <w:top w:val="none" w:sz="0" w:space="0" w:color="auto"/>
        <w:left w:val="none" w:sz="0" w:space="0" w:color="auto"/>
        <w:bottom w:val="none" w:sz="0" w:space="0" w:color="auto"/>
        <w:right w:val="none" w:sz="0" w:space="0" w:color="auto"/>
      </w:divBdr>
    </w:div>
    <w:div w:id="1597515173">
      <w:bodyDiv w:val="1"/>
      <w:marLeft w:val="0"/>
      <w:marRight w:val="0"/>
      <w:marTop w:val="0"/>
      <w:marBottom w:val="0"/>
      <w:divBdr>
        <w:top w:val="none" w:sz="0" w:space="0" w:color="auto"/>
        <w:left w:val="none" w:sz="0" w:space="0" w:color="auto"/>
        <w:bottom w:val="none" w:sz="0" w:space="0" w:color="auto"/>
        <w:right w:val="none" w:sz="0" w:space="0" w:color="auto"/>
      </w:divBdr>
    </w:div>
    <w:div w:id="1599824931">
      <w:bodyDiv w:val="1"/>
      <w:marLeft w:val="0"/>
      <w:marRight w:val="0"/>
      <w:marTop w:val="0"/>
      <w:marBottom w:val="0"/>
      <w:divBdr>
        <w:top w:val="none" w:sz="0" w:space="0" w:color="auto"/>
        <w:left w:val="none" w:sz="0" w:space="0" w:color="auto"/>
        <w:bottom w:val="none" w:sz="0" w:space="0" w:color="auto"/>
        <w:right w:val="none" w:sz="0" w:space="0" w:color="auto"/>
      </w:divBdr>
    </w:div>
    <w:div w:id="1601521928">
      <w:bodyDiv w:val="1"/>
      <w:marLeft w:val="0"/>
      <w:marRight w:val="0"/>
      <w:marTop w:val="0"/>
      <w:marBottom w:val="0"/>
      <w:divBdr>
        <w:top w:val="none" w:sz="0" w:space="0" w:color="auto"/>
        <w:left w:val="none" w:sz="0" w:space="0" w:color="auto"/>
        <w:bottom w:val="none" w:sz="0" w:space="0" w:color="auto"/>
        <w:right w:val="none" w:sz="0" w:space="0" w:color="auto"/>
      </w:divBdr>
    </w:div>
    <w:div w:id="1618681505">
      <w:bodyDiv w:val="1"/>
      <w:marLeft w:val="0"/>
      <w:marRight w:val="0"/>
      <w:marTop w:val="0"/>
      <w:marBottom w:val="0"/>
      <w:divBdr>
        <w:top w:val="none" w:sz="0" w:space="0" w:color="auto"/>
        <w:left w:val="none" w:sz="0" w:space="0" w:color="auto"/>
        <w:bottom w:val="none" w:sz="0" w:space="0" w:color="auto"/>
        <w:right w:val="none" w:sz="0" w:space="0" w:color="auto"/>
      </w:divBdr>
    </w:div>
    <w:div w:id="1711876260">
      <w:bodyDiv w:val="1"/>
      <w:marLeft w:val="0"/>
      <w:marRight w:val="0"/>
      <w:marTop w:val="0"/>
      <w:marBottom w:val="0"/>
      <w:divBdr>
        <w:top w:val="none" w:sz="0" w:space="0" w:color="auto"/>
        <w:left w:val="none" w:sz="0" w:space="0" w:color="auto"/>
        <w:bottom w:val="none" w:sz="0" w:space="0" w:color="auto"/>
        <w:right w:val="none" w:sz="0" w:space="0" w:color="auto"/>
      </w:divBdr>
    </w:div>
    <w:div w:id="1755517609">
      <w:bodyDiv w:val="1"/>
      <w:marLeft w:val="0"/>
      <w:marRight w:val="0"/>
      <w:marTop w:val="0"/>
      <w:marBottom w:val="0"/>
      <w:divBdr>
        <w:top w:val="none" w:sz="0" w:space="0" w:color="auto"/>
        <w:left w:val="none" w:sz="0" w:space="0" w:color="auto"/>
        <w:bottom w:val="none" w:sz="0" w:space="0" w:color="auto"/>
        <w:right w:val="none" w:sz="0" w:space="0" w:color="auto"/>
      </w:divBdr>
    </w:div>
    <w:div w:id="1757507321">
      <w:bodyDiv w:val="1"/>
      <w:marLeft w:val="0"/>
      <w:marRight w:val="0"/>
      <w:marTop w:val="0"/>
      <w:marBottom w:val="0"/>
      <w:divBdr>
        <w:top w:val="none" w:sz="0" w:space="0" w:color="auto"/>
        <w:left w:val="none" w:sz="0" w:space="0" w:color="auto"/>
        <w:bottom w:val="none" w:sz="0" w:space="0" w:color="auto"/>
        <w:right w:val="none" w:sz="0" w:space="0" w:color="auto"/>
      </w:divBdr>
    </w:div>
    <w:div w:id="1764032695">
      <w:bodyDiv w:val="1"/>
      <w:marLeft w:val="0"/>
      <w:marRight w:val="0"/>
      <w:marTop w:val="0"/>
      <w:marBottom w:val="0"/>
      <w:divBdr>
        <w:top w:val="none" w:sz="0" w:space="0" w:color="auto"/>
        <w:left w:val="none" w:sz="0" w:space="0" w:color="auto"/>
        <w:bottom w:val="none" w:sz="0" w:space="0" w:color="auto"/>
        <w:right w:val="none" w:sz="0" w:space="0" w:color="auto"/>
      </w:divBdr>
    </w:div>
    <w:div w:id="1769694856">
      <w:bodyDiv w:val="1"/>
      <w:marLeft w:val="0"/>
      <w:marRight w:val="0"/>
      <w:marTop w:val="0"/>
      <w:marBottom w:val="0"/>
      <w:divBdr>
        <w:top w:val="none" w:sz="0" w:space="0" w:color="auto"/>
        <w:left w:val="none" w:sz="0" w:space="0" w:color="auto"/>
        <w:bottom w:val="none" w:sz="0" w:space="0" w:color="auto"/>
        <w:right w:val="none" w:sz="0" w:space="0" w:color="auto"/>
      </w:divBdr>
    </w:div>
    <w:div w:id="1801337267">
      <w:bodyDiv w:val="1"/>
      <w:marLeft w:val="0"/>
      <w:marRight w:val="0"/>
      <w:marTop w:val="0"/>
      <w:marBottom w:val="0"/>
      <w:divBdr>
        <w:top w:val="none" w:sz="0" w:space="0" w:color="auto"/>
        <w:left w:val="none" w:sz="0" w:space="0" w:color="auto"/>
        <w:bottom w:val="none" w:sz="0" w:space="0" w:color="auto"/>
        <w:right w:val="none" w:sz="0" w:space="0" w:color="auto"/>
      </w:divBdr>
    </w:div>
    <w:div w:id="1820488565">
      <w:bodyDiv w:val="1"/>
      <w:marLeft w:val="0"/>
      <w:marRight w:val="0"/>
      <w:marTop w:val="0"/>
      <w:marBottom w:val="0"/>
      <w:divBdr>
        <w:top w:val="none" w:sz="0" w:space="0" w:color="auto"/>
        <w:left w:val="none" w:sz="0" w:space="0" w:color="auto"/>
        <w:bottom w:val="none" w:sz="0" w:space="0" w:color="auto"/>
        <w:right w:val="none" w:sz="0" w:space="0" w:color="auto"/>
      </w:divBdr>
    </w:div>
    <w:div w:id="1821339626">
      <w:bodyDiv w:val="1"/>
      <w:marLeft w:val="0"/>
      <w:marRight w:val="0"/>
      <w:marTop w:val="0"/>
      <w:marBottom w:val="0"/>
      <w:divBdr>
        <w:top w:val="none" w:sz="0" w:space="0" w:color="auto"/>
        <w:left w:val="none" w:sz="0" w:space="0" w:color="auto"/>
        <w:bottom w:val="none" w:sz="0" w:space="0" w:color="auto"/>
        <w:right w:val="none" w:sz="0" w:space="0" w:color="auto"/>
      </w:divBdr>
    </w:div>
    <w:div w:id="1856729972">
      <w:bodyDiv w:val="1"/>
      <w:marLeft w:val="0"/>
      <w:marRight w:val="0"/>
      <w:marTop w:val="0"/>
      <w:marBottom w:val="0"/>
      <w:divBdr>
        <w:top w:val="none" w:sz="0" w:space="0" w:color="auto"/>
        <w:left w:val="none" w:sz="0" w:space="0" w:color="auto"/>
        <w:bottom w:val="none" w:sz="0" w:space="0" w:color="auto"/>
        <w:right w:val="none" w:sz="0" w:space="0" w:color="auto"/>
      </w:divBdr>
    </w:div>
    <w:div w:id="1875926031">
      <w:bodyDiv w:val="1"/>
      <w:marLeft w:val="0"/>
      <w:marRight w:val="0"/>
      <w:marTop w:val="0"/>
      <w:marBottom w:val="0"/>
      <w:divBdr>
        <w:top w:val="none" w:sz="0" w:space="0" w:color="auto"/>
        <w:left w:val="none" w:sz="0" w:space="0" w:color="auto"/>
        <w:bottom w:val="none" w:sz="0" w:space="0" w:color="auto"/>
        <w:right w:val="none" w:sz="0" w:space="0" w:color="auto"/>
      </w:divBdr>
    </w:div>
    <w:div w:id="1880506039">
      <w:bodyDiv w:val="1"/>
      <w:marLeft w:val="0"/>
      <w:marRight w:val="0"/>
      <w:marTop w:val="0"/>
      <w:marBottom w:val="0"/>
      <w:divBdr>
        <w:top w:val="none" w:sz="0" w:space="0" w:color="auto"/>
        <w:left w:val="none" w:sz="0" w:space="0" w:color="auto"/>
        <w:bottom w:val="none" w:sz="0" w:space="0" w:color="auto"/>
        <w:right w:val="none" w:sz="0" w:space="0" w:color="auto"/>
      </w:divBdr>
    </w:div>
    <w:div w:id="1892884125">
      <w:bodyDiv w:val="1"/>
      <w:marLeft w:val="0"/>
      <w:marRight w:val="0"/>
      <w:marTop w:val="0"/>
      <w:marBottom w:val="0"/>
      <w:divBdr>
        <w:top w:val="none" w:sz="0" w:space="0" w:color="auto"/>
        <w:left w:val="none" w:sz="0" w:space="0" w:color="auto"/>
        <w:bottom w:val="none" w:sz="0" w:space="0" w:color="auto"/>
        <w:right w:val="none" w:sz="0" w:space="0" w:color="auto"/>
      </w:divBdr>
    </w:div>
    <w:div w:id="1893348066">
      <w:bodyDiv w:val="1"/>
      <w:marLeft w:val="0"/>
      <w:marRight w:val="0"/>
      <w:marTop w:val="0"/>
      <w:marBottom w:val="0"/>
      <w:divBdr>
        <w:top w:val="none" w:sz="0" w:space="0" w:color="auto"/>
        <w:left w:val="none" w:sz="0" w:space="0" w:color="auto"/>
        <w:bottom w:val="none" w:sz="0" w:space="0" w:color="auto"/>
        <w:right w:val="none" w:sz="0" w:space="0" w:color="auto"/>
      </w:divBdr>
    </w:div>
    <w:div w:id="1894658995">
      <w:bodyDiv w:val="1"/>
      <w:marLeft w:val="0"/>
      <w:marRight w:val="0"/>
      <w:marTop w:val="0"/>
      <w:marBottom w:val="0"/>
      <w:divBdr>
        <w:top w:val="none" w:sz="0" w:space="0" w:color="auto"/>
        <w:left w:val="none" w:sz="0" w:space="0" w:color="auto"/>
        <w:bottom w:val="none" w:sz="0" w:space="0" w:color="auto"/>
        <w:right w:val="none" w:sz="0" w:space="0" w:color="auto"/>
      </w:divBdr>
    </w:div>
    <w:div w:id="1926185887">
      <w:bodyDiv w:val="1"/>
      <w:marLeft w:val="0"/>
      <w:marRight w:val="0"/>
      <w:marTop w:val="0"/>
      <w:marBottom w:val="0"/>
      <w:divBdr>
        <w:top w:val="none" w:sz="0" w:space="0" w:color="auto"/>
        <w:left w:val="none" w:sz="0" w:space="0" w:color="auto"/>
        <w:bottom w:val="none" w:sz="0" w:space="0" w:color="auto"/>
        <w:right w:val="none" w:sz="0" w:space="0" w:color="auto"/>
      </w:divBdr>
    </w:div>
    <w:div w:id="1973051985">
      <w:bodyDiv w:val="1"/>
      <w:marLeft w:val="0"/>
      <w:marRight w:val="0"/>
      <w:marTop w:val="0"/>
      <w:marBottom w:val="0"/>
      <w:divBdr>
        <w:top w:val="none" w:sz="0" w:space="0" w:color="auto"/>
        <w:left w:val="none" w:sz="0" w:space="0" w:color="auto"/>
        <w:bottom w:val="none" w:sz="0" w:space="0" w:color="auto"/>
        <w:right w:val="none" w:sz="0" w:space="0" w:color="auto"/>
      </w:divBdr>
    </w:div>
    <w:div w:id="2007709272">
      <w:bodyDiv w:val="1"/>
      <w:marLeft w:val="0"/>
      <w:marRight w:val="0"/>
      <w:marTop w:val="0"/>
      <w:marBottom w:val="0"/>
      <w:divBdr>
        <w:top w:val="none" w:sz="0" w:space="0" w:color="auto"/>
        <w:left w:val="none" w:sz="0" w:space="0" w:color="auto"/>
        <w:bottom w:val="none" w:sz="0" w:space="0" w:color="auto"/>
        <w:right w:val="none" w:sz="0" w:space="0" w:color="auto"/>
      </w:divBdr>
    </w:div>
    <w:div w:id="2014138740">
      <w:bodyDiv w:val="1"/>
      <w:marLeft w:val="0"/>
      <w:marRight w:val="0"/>
      <w:marTop w:val="0"/>
      <w:marBottom w:val="0"/>
      <w:divBdr>
        <w:top w:val="none" w:sz="0" w:space="0" w:color="auto"/>
        <w:left w:val="none" w:sz="0" w:space="0" w:color="auto"/>
        <w:bottom w:val="none" w:sz="0" w:space="0" w:color="auto"/>
        <w:right w:val="none" w:sz="0" w:space="0" w:color="auto"/>
      </w:divBdr>
    </w:div>
    <w:div w:id="2027292571">
      <w:bodyDiv w:val="1"/>
      <w:marLeft w:val="0"/>
      <w:marRight w:val="0"/>
      <w:marTop w:val="0"/>
      <w:marBottom w:val="0"/>
      <w:divBdr>
        <w:top w:val="none" w:sz="0" w:space="0" w:color="auto"/>
        <w:left w:val="none" w:sz="0" w:space="0" w:color="auto"/>
        <w:bottom w:val="none" w:sz="0" w:space="0" w:color="auto"/>
        <w:right w:val="none" w:sz="0" w:space="0" w:color="auto"/>
      </w:divBdr>
    </w:div>
    <w:div w:id="2039626153">
      <w:bodyDiv w:val="1"/>
      <w:marLeft w:val="0"/>
      <w:marRight w:val="0"/>
      <w:marTop w:val="0"/>
      <w:marBottom w:val="0"/>
      <w:divBdr>
        <w:top w:val="none" w:sz="0" w:space="0" w:color="auto"/>
        <w:left w:val="none" w:sz="0" w:space="0" w:color="auto"/>
        <w:bottom w:val="none" w:sz="0" w:space="0" w:color="auto"/>
        <w:right w:val="none" w:sz="0" w:space="0" w:color="auto"/>
      </w:divBdr>
    </w:div>
    <w:div w:id="2053184313">
      <w:bodyDiv w:val="1"/>
      <w:marLeft w:val="0"/>
      <w:marRight w:val="0"/>
      <w:marTop w:val="0"/>
      <w:marBottom w:val="0"/>
      <w:divBdr>
        <w:top w:val="none" w:sz="0" w:space="0" w:color="auto"/>
        <w:left w:val="none" w:sz="0" w:space="0" w:color="auto"/>
        <w:bottom w:val="none" w:sz="0" w:space="0" w:color="auto"/>
        <w:right w:val="none" w:sz="0" w:space="0" w:color="auto"/>
      </w:divBdr>
    </w:div>
    <w:div w:id="2072920586">
      <w:bodyDiv w:val="1"/>
      <w:marLeft w:val="0"/>
      <w:marRight w:val="0"/>
      <w:marTop w:val="0"/>
      <w:marBottom w:val="0"/>
      <w:divBdr>
        <w:top w:val="none" w:sz="0" w:space="0" w:color="auto"/>
        <w:left w:val="none" w:sz="0" w:space="0" w:color="auto"/>
        <w:bottom w:val="none" w:sz="0" w:space="0" w:color="auto"/>
        <w:right w:val="none" w:sz="0" w:space="0" w:color="auto"/>
      </w:divBdr>
    </w:div>
    <w:div w:id="2089569513">
      <w:bodyDiv w:val="1"/>
      <w:marLeft w:val="0"/>
      <w:marRight w:val="0"/>
      <w:marTop w:val="0"/>
      <w:marBottom w:val="0"/>
      <w:divBdr>
        <w:top w:val="none" w:sz="0" w:space="0" w:color="auto"/>
        <w:left w:val="none" w:sz="0" w:space="0" w:color="auto"/>
        <w:bottom w:val="none" w:sz="0" w:space="0" w:color="auto"/>
        <w:right w:val="none" w:sz="0" w:space="0" w:color="auto"/>
      </w:divBdr>
    </w:div>
    <w:div w:id="2090881266">
      <w:bodyDiv w:val="1"/>
      <w:marLeft w:val="0"/>
      <w:marRight w:val="0"/>
      <w:marTop w:val="0"/>
      <w:marBottom w:val="0"/>
      <w:divBdr>
        <w:top w:val="none" w:sz="0" w:space="0" w:color="auto"/>
        <w:left w:val="none" w:sz="0" w:space="0" w:color="auto"/>
        <w:bottom w:val="none" w:sz="0" w:space="0" w:color="auto"/>
        <w:right w:val="none" w:sz="0" w:space="0" w:color="auto"/>
      </w:divBdr>
    </w:div>
    <w:div w:id="210136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gsa.gov/nspsupport" TargetMode="External"/><Relationship Id="rId26" Type="http://schemas.openxmlformats.org/officeDocument/2006/relationships/hyperlink" Target="http://gsa.gov/eistransition" TargetMode="External"/><Relationship Id="rId39" Type="http://schemas.openxmlformats.org/officeDocument/2006/relationships/theme" Target="theme/theme1.xml"/><Relationship Id="rId21" Type="http://schemas.openxmlformats.org/officeDocument/2006/relationships/hyperlink" Target="https://interact.gsa.gov/" TargetMode="External"/><Relationship Id="rId34"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gsa.gov/eistransition" TargetMode="External"/><Relationship Id="rId25" Type="http://schemas.openxmlformats.org/officeDocument/2006/relationships/hyperlink" Target="http://www.gsa.gov/eistransition" TargetMode="External"/><Relationship Id="rId33" Type="http://schemas.openxmlformats.org/officeDocument/2006/relationships/image" Target="media/image4.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gsa.gov/eistransition" TargetMode="External"/><Relationship Id="rId20" Type="http://schemas.openxmlformats.org/officeDocument/2006/relationships/hyperlink" Target="http://gsa.gov/eis" TargetMode="External"/><Relationship Id="rId29" Type="http://schemas.openxmlformats.org/officeDocument/2006/relationships/hyperlink" Target="http://www.gsa.gov/portal/content/21937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EISTCC.TA@GSA.GOV" TargetMode="External"/><Relationship Id="rId32" Type="http://schemas.openxmlformats.org/officeDocument/2006/relationships/footer" Target="footer3.xml"/><Relationship Id="rId37"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gsa.gov/eis" TargetMode="External"/><Relationship Id="rId23" Type="http://schemas.openxmlformats.org/officeDocument/2006/relationships/hyperlink" Target="http://gsa.gov/eistransition" TargetMode="External"/><Relationship Id="rId28" Type="http://schemas.openxmlformats.org/officeDocument/2006/relationships/hyperlink" Target="http://www.gsa.gov/portal/category/101134" TargetMode="External"/><Relationship Id="rId36" Type="http://schemas.openxmlformats.org/officeDocument/2006/relationships/hyperlink" Target="http://www.gsa.gov/portal/content/219379" TargetMode="External"/><Relationship Id="rId10" Type="http://schemas.openxmlformats.org/officeDocument/2006/relationships/endnotes" Target="endnotes.xml"/><Relationship Id="rId19" Type="http://schemas.openxmlformats.org/officeDocument/2006/relationships/hyperlink" Target="mailto:eistcc.ta@gsa.gov"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sa.gov/eistransition" TargetMode="External"/><Relationship Id="rId22" Type="http://schemas.openxmlformats.org/officeDocument/2006/relationships/image" Target="media/image3.emf"/><Relationship Id="rId27" Type="http://schemas.openxmlformats.org/officeDocument/2006/relationships/hyperlink" Target="mailto:itcsc@gsa.gov" TargetMode="External"/><Relationship Id="rId30" Type="http://schemas.openxmlformats.org/officeDocument/2006/relationships/header" Target="header1.xml"/><Relationship Id="rId35" Type="http://schemas.openxmlformats.org/officeDocument/2006/relationships/hyperlink" Target="https://www.gsa.gov/portal/content/103828"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29080\Desktop\FSSI%20Wireless\GSA%20FSSI%20Training%20Pl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DA2E4153AD6B4691FBDDFF51D6BEDA" ma:contentTypeVersion="0" ma:contentTypeDescription="Create a new document." ma:contentTypeScope="" ma:versionID="333f093a975133b6f003f3249400ee0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EB250-3CD3-4CF2-BB86-424B7535F53D}">
  <ds:schemaRefs>
    <ds:schemaRef ds:uri="http://schemas.microsoft.com/sharepoint/v3/contenttype/forms"/>
  </ds:schemaRefs>
</ds:datastoreItem>
</file>

<file path=customXml/itemProps2.xml><?xml version="1.0" encoding="utf-8"?>
<ds:datastoreItem xmlns:ds="http://schemas.openxmlformats.org/officeDocument/2006/customXml" ds:itemID="{682E5B45-88AE-41A3-A666-B7082F7C9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07DF575-ACA3-47A3-99C7-5E597164AD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85A78A-6BD5-4A93-BCBB-5FA8FE624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GSA FSSI Training Plan.dotx</Template>
  <TotalTime>0</TotalTime>
  <Pages>51</Pages>
  <Words>15721</Words>
  <Characters>89611</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EIS Security Plan - v2 0 for final review</vt:lpstr>
    </vt:vector>
  </TitlesOfParts>
  <Company>Noblis</Company>
  <LinksUpToDate>false</LinksUpToDate>
  <CharactersWithSpaces>105122</CharactersWithSpaces>
  <SharedDoc>false</SharedDoc>
  <HLinks>
    <vt:vector size="66" baseType="variant">
      <vt:variant>
        <vt:i4>1376308</vt:i4>
      </vt:variant>
      <vt:variant>
        <vt:i4>68</vt:i4>
      </vt:variant>
      <vt:variant>
        <vt:i4>0</vt:i4>
      </vt:variant>
      <vt:variant>
        <vt:i4>5</vt:i4>
      </vt:variant>
      <vt:variant>
        <vt:lpwstr/>
      </vt:variant>
      <vt:variant>
        <vt:lpwstr>_Toc226777708</vt:lpwstr>
      </vt:variant>
      <vt:variant>
        <vt:i4>1900597</vt:i4>
      </vt:variant>
      <vt:variant>
        <vt:i4>59</vt:i4>
      </vt:variant>
      <vt:variant>
        <vt:i4>0</vt:i4>
      </vt:variant>
      <vt:variant>
        <vt:i4>5</vt:i4>
      </vt:variant>
      <vt:variant>
        <vt:lpwstr/>
      </vt:variant>
      <vt:variant>
        <vt:lpwstr>_Toc226777683</vt:lpwstr>
      </vt:variant>
      <vt:variant>
        <vt:i4>1900603</vt:i4>
      </vt:variant>
      <vt:variant>
        <vt:i4>50</vt:i4>
      </vt:variant>
      <vt:variant>
        <vt:i4>0</vt:i4>
      </vt:variant>
      <vt:variant>
        <vt:i4>5</vt:i4>
      </vt:variant>
      <vt:variant>
        <vt:lpwstr/>
      </vt:variant>
      <vt:variant>
        <vt:lpwstr>_Toc226779866</vt:lpwstr>
      </vt:variant>
      <vt:variant>
        <vt:i4>1900603</vt:i4>
      </vt:variant>
      <vt:variant>
        <vt:i4>44</vt:i4>
      </vt:variant>
      <vt:variant>
        <vt:i4>0</vt:i4>
      </vt:variant>
      <vt:variant>
        <vt:i4>5</vt:i4>
      </vt:variant>
      <vt:variant>
        <vt:lpwstr/>
      </vt:variant>
      <vt:variant>
        <vt:lpwstr>_Toc226779865</vt:lpwstr>
      </vt:variant>
      <vt:variant>
        <vt:i4>1900603</vt:i4>
      </vt:variant>
      <vt:variant>
        <vt:i4>38</vt:i4>
      </vt:variant>
      <vt:variant>
        <vt:i4>0</vt:i4>
      </vt:variant>
      <vt:variant>
        <vt:i4>5</vt:i4>
      </vt:variant>
      <vt:variant>
        <vt:lpwstr/>
      </vt:variant>
      <vt:variant>
        <vt:lpwstr>_Toc226779864</vt:lpwstr>
      </vt:variant>
      <vt:variant>
        <vt:i4>1900603</vt:i4>
      </vt:variant>
      <vt:variant>
        <vt:i4>32</vt:i4>
      </vt:variant>
      <vt:variant>
        <vt:i4>0</vt:i4>
      </vt:variant>
      <vt:variant>
        <vt:i4>5</vt:i4>
      </vt:variant>
      <vt:variant>
        <vt:lpwstr/>
      </vt:variant>
      <vt:variant>
        <vt:lpwstr>_Toc226779863</vt:lpwstr>
      </vt:variant>
      <vt:variant>
        <vt:i4>1900603</vt:i4>
      </vt:variant>
      <vt:variant>
        <vt:i4>26</vt:i4>
      </vt:variant>
      <vt:variant>
        <vt:i4>0</vt:i4>
      </vt:variant>
      <vt:variant>
        <vt:i4>5</vt:i4>
      </vt:variant>
      <vt:variant>
        <vt:lpwstr/>
      </vt:variant>
      <vt:variant>
        <vt:lpwstr>_Toc226779862</vt:lpwstr>
      </vt:variant>
      <vt:variant>
        <vt:i4>1900603</vt:i4>
      </vt:variant>
      <vt:variant>
        <vt:i4>20</vt:i4>
      </vt:variant>
      <vt:variant>
        <vt:i4>0</vt:i4>
      </vt:variant>
      <vt:variant>
        <vt:i4>5</vt:i4>
      </vt:variant>
      <vt:variant>
        <vt:lpwstr/>
      </vt:variant>
      <vt:variant>
        <vt:lpwstr>_Toc226779861</vt:lpwstr>
      </vt:variant>
      <vt:variant>
        <vt:i4>1900603</vt:i4>
      </vt:variant>
      <vt:variant>
        <vt:i4>14</vt:i4>
      </vt:variant>
      <vt:variant>
        <vt:i4>0</vt:i4>
      </vt:variant>
      <vt:variant>
        <vt:i4>5</vt:i4>
      </vt:variant>
      <vt:variant>
        <vt:lpwstr/>
      </vt:variant>
      <vt:variant>
        <vt:lpwstr>_Toc226779860</vt:lpwstr>
      </vt:variant>
      <vt:variant>
        <vt:i4>1966139</vt:i4>
      </vt:variant>
      <vt:variant>
        <vt:i4>8</vt:i4>
      </vt:variant>
      <vt:variant>
        <vt:i4>0</vt:i4>
      </vt:variant>
      <vt:variant>
        <vt:i4>5</vt:i4>
      </vt:variant>
      <vt:variant>
        <vt:lpwstr/>
      </vt:variant>
      <vt:variant>
        <vt:lpwstr>_Toc226779859</vt:lpwstr>
      </vt:variant>
      <vt:variant>
        <vt:i4>1966139</vt:i4>
      </vt:variant>
      <vt:variant>
        <vt:i4>2</vt:i4>
      </vt:variant>
      <vt:variant>
        <vt:i4>0</vt:i4>
      </vt:variant>
      <vt:variant>
        <vt:i4>5</vt:i4>
      </vt:variant>
      <vt:variant>
        <vt:lpwstr/>
      </vt:variant>
      <vt:variant>
        <vt:lpwstr>_Toc226779858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EIS Security Plan - v2 0 for final review</dc:title>
  <dc:creator>Veiga</dc:creator>
  <cp:lastModifiedBy>RuthEStarr</cp:lastModifiedBy>
  <cp:revision>2</cp:revision>
  <cp:lastPrinted>2017-10-18T18:27:00Z</cp:lastPrinted>
  <dcterms:created xsi:type="dcterms:W3CDTF">2022-07-11T15:40:00Z</dcterms:created>
  <dcterms:modified xsi:type="dcterms:W3CDTF">2022-07-11T15:40:00Z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0x0101004217ACF4273D88498FF8D217DB6D85EF</vt:lpwstr>
  </property>
  <property fmtid="{D5CDD505-2E9C-101B-9397-08002B2CF9AE}" pid="3" name="Order">
    <vt:r8>1600</vt:r8>
  </property>
  <property fmtid="{D5CDD505-2E9C-101B-9397-08002B2CF9AE}" pid="4" name="MSIP_Label_97c89022-8dfb-49c9-b9ea-ee3983802b4a_Enabled">
    <vt:lpwstr>true</vt:lpwstr>
  </property>
  <property fmtid="{D5CDD505-2E9C-101B-9397-08002B2CF9AE}" pid="5" name="MSIP_Label_97c89022-8dfb-49c9-b9ea-ee3983802b4a_SetDate">
    <vt:lpwstr>2021-07-16T15:45:02Z</vt:lpwstr>
  </property>
  <property fmtid="{D5CDD505-2E9C-101B-9397-08002B2CF9AE}" pid="6" name="MSIP_Label_97c89022-8dfb-49c9-b9ea-ee3983802b4a_Method">
    <vt:lpwstr>Privileged</vt:lpwstr>
  </property>
  <property fmtid="{D5CDD505-2E9C-101B-9397-08002B2CF9AE}" pid="7" name="MSIP_Label_97c89022-8dfb-49c9-b9ea-ee3983802b4a_Name">
    <vt:lpwstr>Custom</vt:lpwstr>
  </property>
  <property fmtid="{D5CDD505-2E9C-101B-9397-08002B2CF9AE}" pid="8" name="MSIP_Label_97c89022-8dfb-49c9-b9ea-ee3983802b4a_SiteId">
    <vt:lpwstr>3e59bf4d-085e-4478-8a1d-6d922a8bd919</vt:lpwstr>
  </property>
  <property fmtid="{D5CDD505-2E9C-101B-9397-08002B2CF9AE}" pid="9" name="MSIP_Label_97c89022-8dfb-49c9-b9ea-ee3983802b4a_ActionId">
    <vt:lpwstr>fffafe1a-8428-484a-93a7-780016660e30</vt:lpwstr>
  </property>
  <property fmtid="{D5CDD505-2E9C-101B-9397-08002B2CF9AE}" pid="10" name="MSIP_Label_97c89022-8dfb-49c9-b9ea-ee3983802b4a_ContentBits">
    <vt:lpwstr>0</vt:lpwstr>
  </property>
  <property fmtid="{D5CDD505-2E9C-101B-9397-08002B2CF9AE}" pid="11" name="MSIP_Label_9f64abbf-39ce-47ba-8907-8179bc2a4cbd_Enabled">
    <vt:lpwstr>true</vt:lpwstr>
  </property>
  <property fmtid="{D5CDD505-2E9C-101B-9397-08002B2CF9AE}" pid="12" name="MSIP_Label_9f64abbf-39ce-47ba-8907-8179bc2a4cbd_SetDate">
    <vt:lpwstr>2022-06-01T13:16:54Z</vt:lpwstr>
  </property>
  <property fmtid="{D5CDD505-2E9C-101B-9397-08002B2CF9AE}" pid="13" name="MSIP_Label_9f64abbf-39ce-47ba-8907-8179bc2a4cbd_Method">
    <vt:lpwstr>Privileged</vt:lpwstr>
  </property>
  <property fmtid="{D5CDD505-2E9C-101B-9397-08002B2CF9AE}" pid="14" name="MSIP_Label_9f64abbf-39ce-47ba-8907-8179bc2a4cbd_Name">
    <vt:lpwstr>Custom</vt:lpwstr>
  </property>
  <property fmtid="{D5CDD505-2E9C-101B-9397-08002B2CF9AE}" pid="15" name="MSIP_Label_9f64abbf-39ce-47ba-8907-8179bc2a4cbd_SiteId">
    <vt:lpwstr>85fedf24-5af7-459c-b935-b978cf6c8ca0</vt:lpwstr>
  </property>
  <property fmtid="{D5CDD505-2E9C-101B-9397-08002B2CF9AE}" pid="16" name="MSIP_Label_9f64abbf-39ce-47ba-8907-8179bc2a4cbd_ActionId">
    <vt:lpwstr>d7e8abaa-3b61-4dcc-8034-cf724fa380b8</vt:lpwstr>
  </property>
  <property fmtid="{D5CDD505-2E9C-101B-9397-08002B2CF9AE}" pid="17" name="MSIP_Label_9f64abbf-39ce-47ba-8907-8179bc2a4cbd_ContentBits">
    <vt:lpwstr>0</vt:lpwstr>
  </property>
</Properties>
</file>